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RPr="002A31CC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2A31CC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A31CC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2A31CC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2A31CC" w:rsidRDefault="0084613B" w:rsidP="00D76358">
            <w:pPr>
              <w:spacing w:after="80"/>
              <w:jc w:val="right"/>
            </w:pPr>
            <w:proofErr w:type="spellStart"/>
            <w:r w:rsidRPr="002A31CC">
              <w:rPr>
                <w:sz w:val="40"/>
                <w:szCs w:val="40"/>
              </w:rPr>
              <w:t>CCPR</w:t>
            </w:r>
            <w:proofErr w:type="spellEnd"/>
            <w:r w:rsidRPr="002A31CC">
              <w:t>/</w:t>
            </w:r>
            <w:r w:rsidR="000544BF" w:rsidRPr="002A31CC">
              <w:fldChar w:fldCharType="begin"/>
            </w:r>
            <w:r w:rsidR="000544BF" w:rsidRPr="002A31CC">
              <w:instrText xml:space="preserve"> FILLIN  "Введите часть символа после CCPR/"  \* MERGEFORMAT </w:instrText>
            </w:r>
            <w:r w:rsidR="000544BF" w:rsidRPr="002A31CC">
              <w:fldChar w:fldCharType="separate"/>
            </w:r>
            <w:r w:rsidR="00B5191F" w:rsidRPr="002A31CC">
              <w:t>C/</w:t>
            </w:r>
            <w:proofErr w:type="spellStart"/>
            <w:r w:rsidR="00B5191F" w:rsidRPr="002A31CC">
              <w:t>TJK</w:t>
            </w:r>
            <w:proofErr w:type="spellEnd"/>
            <w:r w:rsidR="00B5191F" w:rsidRPr="002A31CC">
              <w:t>/</w:t>
            </w:r>
            <w:proofErr w:type="spellStart"/>
            <w:r w:rsidR="00B5191F" w:rsidRPr="002A31CC">
              <w:t>CO</w:t>
            </w:r>
            <w:proofErr w:type="spellEnd"/>
            <w:r w:rsidR="00B5191F" w:rsidRPr="002A31CC">
              <w:t>/2/Add.1</w:t>
            </w:r>
            <w:r w:rsidR="000544BF" w:rsidRPr="002A31CC">
              <w:fldChar w:fldCharType="end"/>
            </w:r>
          </w:p>
        </w:tc>
      </w:tr>
      <w:tr w:rsidR="0084613B" w:rsidRPr="002A31CC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2A31CC" w:rsidRDefault="00224189" w:rsidP="00D76358">
            <w:pPr>
              <w:spacing w:before="120"/>
              <w:jc w:val="center"/>
            </w:pPr>
            <w:r w:rsidRPr="002A31CC">
              <w:rPr>
                <w:noProof/>
                <w:lang w:eastAsia="ru-RU"/>
              </w:rPr>
              <w:drawing>
                <wp:inline distT="0" distB="0" distL="0" distR="0" wp14:anchorId="00049835" wp14:editId="4B4FEAF7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2A31CC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2A31CC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2A31CC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2A31CC" w:rsidRDefault="0084613B" w:rsidP="00D76358">
            <w:pPr>
              <w:spacing w:before="240"/>
            </w:pPr>
            <w:proofErr w:type="spellStart"/>
            <w:r w:rsidRPr="002A31CC">
              <w:t>Distr</w:t>
            </w:r>
            <w:proofErr w:type="spellEnd"/>
            <w:r w:rsidRPr="002A31CC">
              <w:t xml:space="preserve">.: </w:t>
            </w:r>
            <w:bookmarkStart w:id="0" w:name="ПолеСоСписком1"/>
            <w:r w:rsidRPr="002A31C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A31CC">
              <w:instrText xml:space="preserve"> FORMDROPDOWN </w:instrText>
            </w:r>
            <w:r w:rsidR="004A05AF">
              <w:fldChar w:fldCharType="separate"/>
            </w:r>
            <w:r w:rsidRPr="002A31CC">
              <w:fldChar w:fldCharType="end"/>
            </w:r>
            <w:bookmarkEnd w:id="0"/>
          </w:p>
          <w:p w:rsidR="0084613B" w:rsidRPr="002A31CC" w:rsidRDefault="0084613B" w:rsidP="00D76358">
            <w:r w:rsidRPr="002A31CC">
              <w:fldChar w:fldCharType="begin"/>
            </w:r>
            <w:r w:rsidRPr="002A31CC">
              <w:instrText xml:space="preserve"> FILLIN  "Введите дату документа" \* MERGEFORMAT </w:instrText>
            </w:r>
            <w:r w:rsidRPr="002A31CC">
              <w:fldChar w:fldCharType="separate"/>
            </w:r>
            <w:r w:rsidR="00B5191F" w:rsidRPr="002A31CC">
              <w:t xml:space="preserve">8 </w:t>
            </w:r>
            <w:proofErr w:type="spellStart"/>
            <w:r w:rsidR="00B5191F" w:rsidRPr="002A31CC">
              <w:t>April</w:t>
            </w:r>
            <w:proofErr w:type="spellEnd"/>
            <w:r w:rsidR="00B5191F" w:rsidRPr="002A31CC">
              <w:t xml:space="preserve"> 2015</w:t>
            </w:r>
            <w:r w:rsidRPr="002A31CC">
              <w:fldChar w:fldCharType="end"/>
            </w:r>
          </w:p>
          <w:p w:rsidR="0084613B" w:rsidRPr="002A31CC" w:rsidRDefault="0084613B" w:rsidP="00D76358"/>
          <w:p w:rsidR="0084613B" w:rsidRPr="00D95A89" w:rsidRDefault="0084613B" w:rsidP="00D76358">
            <w:pPr>
              <w:rPr>
                <w:lang w:val="en-US"/>
              </w:rPr>
            </w:pPr>
            <w:proofErr w:type="spellStart"/>
            <w:r w:rsidRPr="002A31CC">
              <w:t>Original</w:t>
            </w:r>
            <w:proofErr w:type="spellEnd"/>
            <w:r w:rsidRPr="002A31CC">
              <w:t xml:space="preserve">: </w:t>
            </w:r>
            <w:r w:rsidR="00D95A89">
              <w:rPr>
                <w:lang w:val="en-US"/>
              </w:rPr>
              <w:t>Russian</w:t>
            </w:r>
          </w:p>
          <w:p w:rsidR="00B5191F" w:rsidRPr="002A31CC" w:rsidRDefault="00B5191F" w:rsidP="00D76358">
            <w:proofErr w:type="spellStart"/>
            <w:r w:rsidRPr="002A31CC">
              <w:t>English</w:t>
            </w:r>
            <w:proofErr w:type="spellEnd"/>
            <w:r w:rsidRPr="002A31CC">
              <w:t xml:space="preserve">, </w:t>
            </w:r>
            <w:proofErr w:type="spellStart"/>
            <w:r w:rsidRPr="002A31CC">
              <w:t>French</w:t>
            </w:r>
            <w:proofErr w:type="spellEnd"/>
            <w:r w:rsidRPr="002A31CC">
              <w:t xml:space="preserve">, </w:t>
            </w:r>
            <w:proofErr w:type="spellStart"/>
            <w:r w:rsidRPr="002A31CC">
              <w:t>Russian</w:t>
            </w:r>
            <w:proofErr w:type="spellEnd"/>
            <w:r w:rsidRPr="002A31CC">
              <w:t xml:space="preserve"> </w:t>
            </w:r>
            <w:proofErr w:type="spellStart"/>
            <w:r w:rsidRPr="002A31CC">
              <w:t>and</w:t>
            </w:r>
            <w:proofErr w:type="spellEnd"/>
          </w:p>
          <w:p w:rsidR="00B5191F" w:rsidRPr="002A31CC" w:rsidRDefault="00B5191F" w:rsidP="00D76358">
            <w:proofErr w:type="spellStart"/>
            <w:r w:rsidRPr="002A31CC">
              <w:t>Spanish</w:t>
            </w:r>
            <w:proofErr w:type="spellEnd"/>
            <w:r w:rsidRPr="002A31CC">
              <w:t xml:space="preserve"> </w:t>
            </w:r>
            <w:proofErr w:type="spellStart"/>
            <w:r w:rsidRPr="002A31CC">
              <w:t>only</w:t>
            </w:r>
            <w:proofErr w:type="spellEnd"/>
          </w:p>
          <w:p w:rsidR="0084613B" w:rsidRPr="002A31CC" w:rsidRDefault="0084613B" w:rsidP="00D76358"/>
        </w:tc>
      </w:tr>
    </w:tbl>
    <w:p w:rsidR="002D7CC4" w:rsidRPr="002A31CC" w:rsidRDefault="002D7CC4" w:rsidP="002D7CC4">
      <w:pPr>
        <w:spacing w:before="120"/>
        <w:rPr>
          <w:b/>
          <w:sz w:val="24"/>
          <w:szCs w:val="24"/>
        </w:rPr>
      </w:pPr>
      <w:r w:rsidRPr="002A31CC">
        <w:rPr>
          <w:b/>
          <w:sz w:val="24"/>
          <w:szCs w:val="24"/>
        </w:rPr>
        <w:t>Комитет по правам человека</w:t>
      </w:r>
    </w:p>
    <w:p w:rsidR="002D7CC4" w:rsidRPr="002A31CC" w:rsidRDefault="002D7CC4" w:rsidP="002D7CC4">
      <w:pPr>
        <w:pStyle w:val="HChGR"/>
      </w:pPr>
      <w:r w:rsidRPr="002A31CC">
        <w:tab/>
      </w:r>
      <w:r w:rsidRPr="002A31CC">
        <w:tab/>
        <w:t>Заключитель</w:t>
      </w:r>
      <w:bookmarkStart w:id="1" w:name="_GoBack"/>
      <w:bookmarkEnd w:id="1"/>
      <w:r w:rsidRPr="002A31CC">
        <w:t xml:space="preserve">ные замечания по второму периодическому докладу Таджикистана </w:t>
      </w:r>
    </w:p>
    <w:p w:rsidR="002D7CC4" w:rsidRPr="002A31CC" w:rsidRDefault="002D7CC4" w:rsidP="002D7CC4">
      <w:pPr>
        <w:pStyle w:val="H23GR"/>
      </w:pPr>
      <w:r w:rsidRPr="002A31CC">
        <w:tab/>
      </w:r>
      <w:r w:rsidRPr="002A31CC">
        <w:tab/>
        <w:t>Добавление</w:t>
      </w:r>
    </w:p>
    <w:p w:rsidR="000544BF" w:rsidRPr="002A31CC" w:rsidRDefault="002D7CC4" w:rsidP="002D7CC4">
      <w:pPr>
        <w:pStyle w:val="HChGR"/>
      </w:pPr>
      <w:r w:rsidRPr="002A31CC">
        <w:tab/>
      </w:r>
      <w:r w:rsidRPr="002A31CC">
        <w:tab/>
        <w:t>Информация, полученная от Таджикистана в</w:t>
      </w:r>
      <w:r w:rsidR="00DC6558" w:rsidRPr="002A31CC">
        <w:t> </w:t>
      </w:r>
      <w:r w:rsidRPr="002A31CC">
        <w:t>отношении последующих мер в связи с</w:t>
      </w:r>
      <w:r w:rsidR="00DC6558" w:rsidRPr="002A31CC">
        <w:t> </w:t>
      </w:r>
      <w:r w:rsidRPr="002A31CC">
        <w:t>заключительными замечаниями</w:t>
      </w:r>
      <w:r w:rsidRPr="002A31CC">
        <w:rPr>
          <w:rStyle w:val="ab"/>
          <w:b w:val="0"/>
          <w:vertAlign w:val="baseline"/>
          <w:lang w:eastAsia="en-US"/>
        </w:rPr>
        <w:footnoteReference w:customMarkFollows="1" w:id="1"/>
        <w:t xml:space="preserve">* </w:t>
      </w:r>
    </w:p>
    <w:p w:rsidR="002D7CC4" w:rsidRPr="002A31CC" w:rsidRDefault="00B45B33" w:rsidP="00B45B33">
      <w:pPr>
        <w:pStyle w:val="SingleTxtGR"/>
        <w:jc w:val="right"/>
      </w:pPr>
      <w:r w:rsidRPr="002A31CC">
        <w:t>[Дата получения: 30 марта 2015 года]</w:t>
      </w:r>
    </w:p>
    <w:p w:rsidR="004E3483" w:rsidRPr="002A31CC" w:rsidRDefault="004E3483" w:rsidP="003D0BA3">
      <w:pPr>
        <w:pStyle w:val="SingleTxtGR"/>
      </w:pPr>
      <w:r w:rsidRPr="002A31CC">
        <w:t>1.</w:t>
      </w:r>
      <w:r w:rsidRPr="002A31CC">
        <w:tab/>
        <w:t>В целях выполнения пункта 5 правила 71 Правил процедуры Комитета по правам человека относительно представления соответствующую информацию о выполнении рекомендаций Комитета, изложенных в пунктах 16, 18 и 23 Закл</w:t>
      </w:r>
      <w:r w:rsidRPr="002A31CC">
        <w:t>ю</w:t>
      </w:r>
      <w:r w:rsidRPr="002A31CC">
        <w:t>чительных замечаний по второму периодическому докладу Таджикистана, Ре</w:t>
      </w:r>
      <w:r w:rsidRPr="002A31CC">
        <w:t>с</w:t>
      </w:r>
      <w:r w:rsidRPr="002A31CC">
        <w:t>публика Таджикистан сообщает нижеследующее:</w:t>
      </w:r>
    </w:p>
    <w:p w:rsidR="004E3483" w:rsidRPr="002A31CC" w:rsidRDefault="003D0BA3" w:rsidP="003D0BA3">
      <w:pPr>
        <w:pStyle w:val="H23GR"/>
      </w:pPr>
      <w:r w:rsidRPr="002A31CC">
        <w:tab/>
      </w:r>
      <w:r w:rsidRPr="002A31CC">
        <w:tab/>
      </w:r>
      <w:r w:rsidR="004E3483" w:rsidRPr="002A31CC">
        <w:t>Информация о выполнении рекомендаций Комитета, изложенных в</w:t>
      </w:r>
      <w:r w:rsidR="00DC6558" w:rsidRPr="002A31CC">
        <w:t> </w:t>
      </w:r>
      <w:r w:rsidR="004E3483" w:rsidRPr="002A31CC">
        <w:t>пункте</w:t>
      </w:r>
      <w:r w:rsidR="00DC6558" w:rsidRPr="002A31CC">
        <w:t> </w:t>
      </w:r>
      <w:r w:rsidR="004E3483" w:rsidRPr="002A31CC">
        <w:t>16</w:t>
      </w:r>
    </w:p>
    <w:p w:rsidR="004E3483" w:rsidRPr="00411B74" w:rsidRDefault="004E3483" w:rsidP="003D0BA3">
      <w:pPr>
        <w:pStyle w:val="SingleTxtGR"/>
      </w:pPr>
      <w:r w:rsidRPr="00411B74">
        <w:t>2.</w:t>
      </w:r>
      <w:r w:rsidRPr="00411B74">
        <w:tab/>
        <w:t>В связи с рекомендацией в пункте 16 заключительных замечаний Респу</w:t>
      </w:r>
      <w:r w:rsidRPr="00411B74">
        <w:t>б</w:t>
      </w:r>
      <w:r w:rsidRPr="00411B74">
        <w:t>лика Таджикистан сообщает, что вопросы задержания лиц и меры пресечения регулируются разделом</w:t>
      </w:r>
      <w:r w:rsidR="00DC6558" w:rsidRPr="00411B74">
        <w:t xml:space="preserve"> </w:t>
      </w:r>
      <w:r w:rsidRPr="00411B74">
        <w:t>IV Уголовно-процессуального кодекса Республики Т</w:t>
      </w:r>
      <w:r w:rsidRPr="00411B74">
        <w:t>а</w:t>
      </w:r>
      <w:r w:rsidRPr="00411B74">
        <w:t>джикистан</w:t>
      </w:r>
      <w:r w:rsidR="00DC6558" w:rsidRPr="00411B74">
        <w:t xml:space="preserve"> </w:t>
      </w:r>
      <w:r w:rsidRPr="00411B74">
        <w:t>–</w:t>
      </w:r>
      <w:r w:rsidR="00DC6558" w:rsidRPr="00411B74">
        <w:t xml:space="preserve"> </w:t>
      </w:r>
      <w:r w:rsidRPr="00411B74">
        <w:t>"Меры процессуального принуждения". Глава 11 указанного к</w:t>
      </w:r>
      <w:r w:rsidRPr="00411B74">
        <w:t>о</w:t>
      </w:r>
      <w:r w:rsidRPr="00411B74">
        <w:t>декса посвящена вопросам задержания лица. Так, согласно части 2 статьи</w:t>
      </w:r>
      <w:r w:rsidR="00DC6558" w:rsidRPr="00411B74">
        <w:t xml:space="preserve"> </w:t>
      </w:r>
      <w:r w:rsidRPr="00411B74">
        <w:t>92 кодекса задержание лица может производиться до возбуждения уголовного д</w:t>
      </w:r>
      <w:r w:rsidRPr="00411B74">
        <w:t>е</w:t>
      </w:r>
      <w:r w:rsidRPr="00411B74">
        <w:t>ла. При этом вопрос о возбуждении уголовного дела должен быть решен орг</w:t>
      </w:r>
      <w:r w:rsidRPr="00411B74">
        <w:t>а</w:t>
      </w:r>
      <w:r w:rsidRPr="00411B74">
        <w:t>ном уголовного преследования в течение 12</w:t>
      </w:r>
      <w:r w:rsidR="00DC6558" w:rsidRPr="00411B74">
        <w:t xml:space="preserve"> </w:t>
      </w:r>
      <w:r w:rsidRPr="00411B74">
        <w:t>часов с момента задержания. В</w:t>
      </w:r>
      <w:r w:rsidR="00411B74">
        <w:rPr>
          <w:lang w:val="en-US"/>
        </w:rPr>
        <w:t> </w:t>
      </w:r>
      <w:r w:rsidRPr="00411B74">
        <w:t>случае отказа в возбуждении уголовного дела или непринятия решения о во</w:t>
      </w:r>
      <w:r w:rsidRPr="00411B74">
        <w:t>з</w:t>
      </w:r>
      <w:r w:rsidRPr="00411B74">
        <w:t>буждении уголовного дела в указанный срок, задержанный должен быть осв</w:t>
      </w:r>
      <w:r w:rsidRPr="00411B74">
        <w:t>о</w:t>
      </w:r>
      <w:r w:rsidRPr="00411B74">
        <w:t>божден. Порядок задержания подозреваемого регулируется статьей</w:t>
      </w:r>
      <w:r w:rsidR="00DC6558" w:rsidRPr="00411B74">
        <w:t xml:space="preserve"> </w:t>
      </w:r>
      <w:r w:rsidRPr="00411B74">
        <w:t>94 Уголо</w:t>
      </w:r>
      <w:r w:rsidRPr="00411B74">
        <w:t>в</w:t>
      </w:r>
      <w:r w:rsidRPr="00411B74">
        <w:t xml:space="preserve">но-процессуального кодекса Республики Таджикистан, согласно которой после доставления задержанного в орган уголовного преследования должностным </w:t>
      </w:r>
      <w:r w:rsidRPr="00411B74">
        <w:lastRenderedPageBreak/>
        <w:t>лицом составляется протокол в течение трех часов, в котором указываются о</w:t>
      </w:r>
      <w:r w:rsidRPr="00411B74">
        <w:t>с</w:t>
      </w:r>
      <w:r w:rsidRPr="00411B74">
        <w:t>нования, место и время фактического задержания (с указанием дня, часа и м</w:t>
      </w:r>
      <w:r w:rsidRPr="00411B74">
        <w:t>и</w:t>
      </w:r>
      <w:r w:rsidRPr="00411B74">
        <w:t>нуты), результаты личного обыска, а также время составления протокола. Пр</w:t>
      </w:r>
      <w:r w:rsidRPr="00411B74">
        <w:t>о</w:t>
      </w:r>
      <w:r w:rsidRPr="00411B74">
        <w:t>токол объявляется задержанному и при этом разъясняются его права, в том чи</w:t>
      </w:r>
      <w:r w:rsidRPr="00411B74">
        <w:t>с</w:t>
      </w:r>
      <w:r w:rsidRPr="00411B74">
        <w:t>ле право пригласить защитника и давать показания в его присутствии, что о</w:t>
      </w:r>
      <w:r w:rsidRPr="00411B74">
        <w:t>т</w:t>
      </w:r>
      <w:r w:rsidRPr="00411B74">
        <w:t>мечается в протоколе. Протокол подписывается лицом, его составившим, и з</w:t>
      </w:r>
      <w:r w:rsidRPr="00411B74">
        <w:t>а</w:t>
      </w:r>
      <w:r w:rsidRPr="00411B74">
        <w:t xml:space="preserve">держанным. </w:t>
      </w:r>
      <w:r w:rsidR="002A31CC" w:rsidRPr="00411B74">
        <w:t xml:space="preserve">О произведенном задержании дознаватель или следователь обязан письменно сообщить прокурору в течение 24 часов. </w:t>
      </w:r>
    </w:p>
    <w:p w:rsidR="004E3483" w:rsidRPr="002A31CC" w:rsidRDefault="004E3483" w:rsidP="003D0BA3">
      <w:pPr>
        <w:pStyle w:val="SingleTxtGR"/>
      </w:pPr>
      <w:r w:rsidRPr="002A31CC">
        <w:t>3.</w:t>
      </w:r>
      <w:r w:rsidRPr="002A31CC">
        <w:tab/>
        <w:t>Согласно статье</w:t>
      </w:r>
      <w:r w:rsidR="00DC6558" w:rsidRPr="002A31CC">
        <w:t xml:space="preserve"> </w:t>
      </w:r>
      <w:r w:rsidRPr="002A31CC">
        <w:t>108 Уголовно-процессуального кодекса Республики Т</w:t>
      </w:r>
      <w:r w:rsidRPr="002A31CC">
        <w:t>а</w:t>
      </w:r>
      <w:r w:rsidRPr="002A31CC">
        <w:t>джикистан в отношении несовершеннолетнего подозреваемого, обвиняемого или подсудимого предусмотрена такая мера пресечения, как отдача несове</w:t>
      </w:r>
      <w:r w:rsidRPr="002A31CC">
        <w:t>р</w:t>
      </w:r>
      <w:r w:rsidRPr="002A31CC">
        <w:t>шеннолетнего под присмотр родителей и других родственников, опекунов, п</w:t>
      </w:r>
      <w:r w:rsidRPr="002A31CC">
        <w:t>о</w:t>
      </w:r>
      <w:r w:rsidRPr="002A31CC">
        <w:t>печителей или других заслуживающих доверия лиц, а также представителей специального детского учреждения, в котором он находится.</w:t>
      </w:r>
    </w:p>
    <w:p w:rsidR="004E3483" w:rsidRPr="002A31CC" w:rsidRDefault="004E3483" w:rsidP="003D0BA3">
      <w:pPr>
        <w:pStyle w:val="SingleTxtGR"/>
      </w:pPr>
      <w:r w:rsidRPr="002A31CC">
        <w:t>4.</w:t>
      </w:r>
      <w:r w:rsidRPr="002A31CC">
        <w:tab/>
        <w:t>Таким образом, можно констатировать, что права задержанных лиц должным образом защищены уголовно-процессуальным законодательством Республики Таджикистан и в целом отвечают международным стандартам.</w:t>
      </w:r>
    </w:p>
    <w:p w:rsidR="004E3483" w:rsidRPr="002A31CC" w:rsidRDefault="004E3483" w:rsidP="003D0BA3">
      <w:pPr>
        <w:pStyle w:val="SingleTxtGR"/>
      </w:pPr>
      <w:r w:rsidRPr="002A31CC">
        <w:t>5.</w:t>
      </w:r>
      <w:r w:rsidRPr="002A31CC">
        <w:tab/>
        <w:t>Кроме того, следует отметить, что 14 июля 2013 года Пленум Верховного суда Республики Таджикистан принял постановление "О практике применения судами законодательства, связанного с избранием меры пресечения в виде з</w:t>
      </w:r>
      <w:r w:rsidRPr="002A31CC">
        <w:t>а</w:t>
      </w:r>
      <w:r w:rsidRPr="002A31CC">
        <w:t>держания под стражу, домашнего ареста и продления срока содержания под стражей и домашнего ареста", в котором разъяснил органам уголовного пресл</w:t>
      </w:r>
      <w:r w:rsidRPr="002A31CC">
        <w:t>е</w:t>
      </w:r>
      <w:r w:rsidRPr="002A31CC">
        <w:t>дования, судам и судьям положения закона, регулирующие задержание лица, избрание меры пресечения, порядок рассмотрения этих дел. В постановлении указано на необходимость соблюдения конституционных прав человека и отм</w:t>
      </w:r>
      <w:r w:rsidRPr="002A31CC">
        <w:t>е</w:t>
      </w:r>
      <w:r w:rsidRPr="002A31CC">
        <w:t>чено, что право на свободу является высшей ценностью. Жизнь, честь, дост</w:t>
      </w:r>
      <w:r w:rsidRPr="002A31CC">
        <w:t>о</w:t>
      </w:r>
      <w:r w:rsidRPr="002A31CC">
        <w:t>инство человека и другие естественные права человека являются неприкосн</w:t>
      </w:r>
      <w:r w:rsidRPr="002A31CC">
        <w:t>о</w:t>
      </w:r>
      <w:r w:rsidRPr="002A31CC">
        <w:t>венными, и никто не может быть подвергнут без законных оснований задерж</w:t>
      </w:r>
      <w:r w:rsidRPr="002A31CC">
        <w:t>а</w:t>
      </w:r>
      <w:r w:rsidRPr="002A31CC">
        <w:t xml:space="preserve">нию и аресту. </w:t>
      </w:r>
    </w:p>
    <w:p w:rsidR="004E3483" w:rsidRPr="002A31CC" w:rsidRDefault="004E3483" w:rsidP="003D0BA3">
      <w:pPr>
        <w:pStyle w:val="SingleTxtGR"/>
      </w:pPr>
      <w:r w:rsidRPr="002A31CC">
        <w:t>6.</w:t>
      </w:r>
      <w:r w:rsidRPr="002A31CC">
        <w:tab/>
      </w:r>
      <w:r w:rsidR="002A31CC" w:rsidRPr="002A31CC">
        <w:t>По данным Генеральной прокуратуры за шесть месяцев 2014 года с с</w:t>
      </w:r>
      <w:r w:rsidR="002A31CC" w:rsidRPr="002A31CC">
        <w:t>о</w:t>
      </w:r>
      <w:r w:rsidR="002A31CC">
        <w:t>гласия</w:t>
      </w:r>
      <w:r w:rsidR="002A31CC" w:rsidRPr="002A31CC">
        <w:t xml:space="preserve"> прокуроров и разрешения судов в отношении 1 363 подозреваемых было вынесено постановление о заключении под стражу. </w:t>
      </w:r>
      <w:r w:rsidRPr="002A31CC">
        <w:t>В отношении 93 задержа</w:t>
      </w:r>
      <w:r w:rsidRPr="002A31CC">
        <w:t>н</w:t>
      </w:r>
      <w:r w:rsidRPr="002A31CC">
        <w:t xml:space="preserve">ных лиц следователями было вынесено постановления об освобождении. </w:t>
      </w:r>
    </w:p>
    <w:p w:rsidR="004E3483" w:rsidRPr="002A31CC" w:rsidRDefault="004E3483" w:rsidP="003D0BA3">
      <w:pPr>
        <w:pStyle w:val="SingleTxtGR"/>
      </w:pPr>
      <w:r w:rsidRPr="002A31CC">
        <w:t>7.</w:t>
      </w:r>
      <w:r w:rsidRPr="002A31CC">
        <w:tab/>
        <w:t>Правоохранительными органами Таджикистана приняты эффективные меры по информированию задержанных относительно их прав и причин заде</w:t>
      </w:r>
      <w:r w:rsidRPr="002A31CC">
        <w:t>р</w:t>
      </w:r>
      <w:r w:rsidRPr="002A31CC">
        <w:t>жания, упорядочена регистрация задержанных в местах содержания под стр</w:t>
      </w:r>
      <w:r w:rsidRPr="002A31CC">
        <w:t>а</w:t>
      </w:r>
      <w:r w:rsidRPr="002A31CC">
        <w:t>жей, задержанным лицам обеспечен незамедлительный доступ к адвокату и врачу. Так, по данным Агентство по государственному финансовому контролю и борьбе с коррупцией Республики Таджикистан в соответствии со статьей 94 Уголовно-процессуального кодекса Республики Таджикистан в случае задерж</w:t>
      </w:r>
      <w:r w:rsidRPr="002A31CC">
        <w:t>а</w:t>
      </w:r>
      <w:r w:rsidRPr="002A31CC">
        <w:t>ния лица, подозреваемого в совершении коррупционных преступлений, соо</w:t>
      </w:r>
      <w:r w:rsidRPr="002A31CC">
        <w:t>т</w:t>
      </w:r>
      <w:r w:rsidRPr="002A31CC">
        <w:t>ветствующие подразделения Агентства в течение трех часов составляют прот</w:t>
      </w:r>
      <w:r w:rsidRPr="002A31CC">
        <w:t>о</w:t>
      </w:r>
      <w:r w:rsidRPr="002A31CC">
        <w:t>кол о задержании с указанием оснований, места и времени фактического з</w:t>
      </w:r>
      <w:r w:rsidRPr="002A31CC">
        <w:t>а</w:t>
      </w:r>
      <w:r w:rsidRPr="002A31CC">
        <w:t>держания. Кроме того, факт задержания фиксируется в специальном регистр</w:t>
      </w:r>
      <w:r w:rsidRPr="002A31CC">
        <w:t>а</w:t>
      </w:r>
      <w:r w:rsidRPr="002A31CC">
        <w:t xml:space="preserve">ционном журнале, где указывается время и место задержания. </w:t>
      </w:r>
    </w:p>
    <w:p w:rsidR="004E3483" w:rsidRPr="002A31CC" w:rsidRDefault="004E3483" w:rsidP="003D0BA3">
      <w:pPr>
        <w:pStyle w:val="SingleTxtGR"/>
      </w:pPr>
      <w:r w:rsidRPr="002A31CC">
        <w:t>8.</w:t>
      </w:r>
      <w:r w:rsidRPr="002A31CC">
        <w:tab/>
        <w:t>Также о задержании лица в течение 12 часов с момента его фактического задержания уведомляются члены семьи или другие близкие родственники з</w:t>
      </w:r>
      <w:r w:rsidRPr="002A31CC">
        <w:t>а</w:t>
      </w:r>
      <w:r w:rsidRPr="002A31CC">
        <w:t>держанного, что предусмотрено статьей</w:t>
      </w:r>
      <w:r w:rsidR="00DC6558" w:rsidRPr="002A31CC">
        <w:t xml:space="preserve"> </w:t>
      </w:r>
      <w:r w:rsidRPr="002A31CC">
        <w:t>100 Уголовно-процессуального кодекса Республики Таджикистан. Наряду с этими важными гарантиями обеспечения процессуальных и иных прав задержанного являются предусмотренные в стат</w:t>
      </w:r>
      <w:r w:rsidRPr="002A31CC">
        <w:t>ь</w:t>
      </w:r>
      <w:r w:rsidRPr="002A31CC">
        <w:lastRenderedPageBreak/>
        <w:t>ях 49–53 Уголовно-процессуального кодекса права защитника на допуск к по</w:t>
      </w:r>
      <w:r w:rsidRPr="002A31CC">
        <w:t>д</w:t>
      </w:r>
      <w:r w:rsidRPr="002A31CC">
        <w:t>защитному с момента фактического задержания подозреваемого и беспрепя</w:t>
      </w:r>
      <w:r w:rsidRPr="002A31CC">
        <w:t>т</w:t>
      </w:r>
      <w:r w:rsidRPr="002A31CC">
        <w:t>ственное ведение бесед с подзащитным наедине, без ограничения их колич</w:t>
      </w:r>
      <w:r w:rsidRPr="002A31CC">
        <w:t>е</w:t>
      </w:r>
      <w:r w:rsidRPr="002A31CC">
        <w:t>ства и продолжительности. Реализация права задержанного на доступ к услугам адвоката с момента задержания гарантируется и статьей 19 Конституции Ре</w:t>
      </w:r>
      <w:r w:rsidRPr="002A31CC">
        <w:t>с</w:t>
      </w:r>
      <w:r w:rsidRPr="002A31CC">
        <w:t xml:space="preserve">публики Таджикистан. </w:t>
      </w:r>
    </w:p>
    <w:p w:rsidR="004E3483" w:rsidRPr="002A31CC" w:rsidRDefault="004E3483" w:rsidP="003D0BA3">
      <w:pPr>
        <w:pStyle w:val="SingleTxtGR"/>
      </w:pPr>
      <w:r w:rsidRPr="002A31CC">
        <w:t>9.</w:t>
      </w:r>
      <w:r w:rsidRPr="002A31CC">
        <w:tab/>
        <w:t>Доступ задержанных к медицинской помощи своевременно обеспечив</w:t>
      </w:r>
      <w:r w:rsidRPr="002A31CC">
        <w:t>а</w:t>
      </w:r>
      <w:r w:rsidRPr="002A31CC">
        <w:t xml:space="preserve">ется как возможностями медицинской группы Агентства по государственному финансовому контролю и борьбе с коррупцией Республики Таджикистан, так и при необходимости путем привлечения квалифицированного персонала других медицинских учреждений Республики Таджикистан. </w:t>
      </w:r>
    </w:p>
    <w:p w:rsidR="004E3483" w:rsidRPr="002A31CC" w:rsidRDefault="004E3483" w:rsidP="003D0BA3">
      <w:pPr>
        <w:pStyle w:val="SingleTxtGR"/>
      </w:pPr>
      <w:r w:rsidRPr="002A31CC">
        <w:t>10.</w:t>
      </w:r>
      <w:r w:rsidRPr="002A31CC">
        <w:tab/>
      </w:r>
      <w:r w:rsidR="002A31CC" w:rsidRPr="002A31CC">
        <w:t>По данным Агентств</w:t>
      </w:r>
      <w:r w:rsidR="002A31CC">
        <w:t>а</w:t>
      </w:r>
      <w:r w:rsidR="002A31CC" w:rsidRPr="002A31CC">
        <w:t xml:space="preserve"> по контролю за оборотом наркотиков при През</w:t>
      </w:r>
      <w:r w:rsidR="002A31CC" w:rsidRPr="002A31CC">
        <w:t>и</w:t>
      </w:r>
      <w:r w:rsidR="002A31CC" w:rsidRPr="002A31CC">
        <w:t>денте Республики Таджикистан</w:t>
      </w:r>
      <w:r w:rsidR="002A31CC">
        <w:t>,</w:t>
      </w:r>
      <w:r w:rsidR="002A31CC" w:rsidRPr="002A31CC">
        <w:t xml:space="preserve"> за шесть месяцев 2014 года в изоляторах вр</w:t>
      </w:r>
      <w:r w:rsidR="002A31CC" w:rsidRPr="002A31CC">
        <w:t>е</w:t>
      </w:r>
      <w:r w:rsidR="002A31CC" w:rsidRPr="002A31CC">
        <w:t xml:space="preserve">менного содержания (ИВС) в целом содержались 137 задержанных (за тот же период 2013 года – 72). </w:t>
      </w:r>
      <w:r w:rsidRPr="002A31CC">
        <w:t>Права задержанных и условия их содержания соблюд</w:t>
      </w:r>
      <w:r w:rsidRPr="002A31CC">
        <w:t>а</w:t>
      </w:r>
      <w:r w:rsidRPr="002A31CC">
        <w:t>ются на основе требования статей</w:t>
      </w:r>
      <w:r w:rsidR="00DC6558" w:rsidRPr="002A31CC">
        <w:t xml:space="preserve"> </w:t>
      </w:r>
      <w:r w:rsidRPr="002A31CC">
        <w:t>91 и 92 Уголовно-процессуального Кодекса Республики Таджикистан и Инструкции №</w:t>
      </w:r>
      <w:r w:rsidR="00DC6558" w:rsidRPr="002A31CC">
        <w:t xml:space="preserve"> </w:t>
      </w:r>
      <w:r w:rsidRPr="002A31CC">
        <w:t>44 от 29 мая 2000 года "Об орган</w:t>
      </w:r>
      <w:r w:rsidRPr="002A31CC">
        <w:t>и</w:t>
      </w:r>
      <w:r w:rsidRPr="002A31CC">
        <w:t>зации работы оперативно-дежурных частей, защиты и конвоирования заде</w:t>
      </w:r>
      <w:r w:rsidRPr="002A31CC">
        <w:t>р</w:t>
      </w:r>
      <w:r w:rsidRPr="002A31CC">
        <w:t>жанных и обвиняемых", "О порядке работы ИВС задержанных и обвиняемых и внутреннего порядка" и №</w:t>
      </w:r>
      <w:r w:rsidR="00DC6558" w:rsidRPr="002A31CC">
        <w:t xml:space="preserve"> </w:t>
      </w:r>
      <w:r w:rsidRPr="002A31CC">
        <w:t>107</w:t>
      </w:r>
      <w:r w:rsidR="00DC6558" w:rsidRPr="002A31CC">
        <w:t xml:space="preserve"> </w:t>
      </w:r>
      <w:r w:rsidRPr="002A31CC">
        <w:t>от 3 марта 2012 года "О порядке и условиях с</w:t>
      </w:r>
      <w:r w:rsidRPr="002A31CC">
        <w:t>о</w:t>
      </w:r>
      <w:r w:rsidRPr="002A31CC">
        <w:t xml:space="preserve">держания под арестом подозреваемых, обвиняемых и подсудимых". </w:t>
      </w:r>
      <w:r w:rsidR="002A31CC" w:rsidRPr="002A31CC">
        <w:t>Перед в</w:t>
      </w:r>
      <w:r w:rsidR="002A31CC" w:rsidRPr="002A31CC">
        <w:t>о</w:t>
      </w:r>
      <w:r w:rsidR="002A31CC" w:rsidRPr="002A31CC">
        <w:t>дворением в ИВС задержанных лиц осматривают сотрудники Агентств</w:t>
      </w:r>
      <w:r w:rsidR="002A31CC">
        <w:t>а</w:t>
      </w:r>
      <w:r w:rsidR="002A31CC" w:rsidRPr="002A31CC">
        <w:t xml:space="preserve"> по ко</w:t>
      </w:r>
      <w:r w:rsidR="002A31CC" w:rsidRPr="002A31CC">
        <w:t>н</w:t>
      </w:r>
      <w:r w:rsidR="002A31CC" w:rsidRPr="002A31CC">
        <w:t>тролю за оборотом наркотиков и о состоянии их здоровья составляют медици</w:t>
      </w:r>
      <w:r w:rsidR="002A31CC" w:rsidRPr="002A31CC">
        <w:t>н</w:t>
      </w:r>
      <w:r w:rsidR="002A31CC" w:rsidRPr="002A31CC">
        <w:t xml:space="preserve">скую справку. </w:t>
      </w:r>
      <w:r w:rsidRPr="002A31CC">
        <w:t>Задержанным да</w:t>
      </w:r>
      <w:r w:rsidR="00D148CE">
        <w:t>е</w:t>
      </w:r>
      <w:r w:rsidRPr="002A31CC">
        <w:t>тся возможность с момента задержания польз</w:t>
      </w:r>
      <w:r w:rsidRPr="002A31CC">
        <w:t>о</w:t>
      </w:r>
      <w:r w:rsidRPr="002A31CC">
        <w:t>ваться услугами адвоката и другими правами, указанными в статье</w:t>
      </w:r>
      <w:r w:rsidR="00DC6558" w:rsidRPr="002A31CC">
        <w:t xml:space="preserve"> </w:t>
      </w:r>
      <w:r w:rsidRPr="002A31CC">
        <w:t>46 Уголо</w:t>
      </w:r>
      <w:r w:rsidRPr="002A31CC">
        <w:t>в</w:t>
      </w:r>
      <w:r w:rsidRPr="002A31CC">
        <w:t xml:space="preserve">но-процессуального кодекса Республики Таджикистан. </w:t>
      </w:r>
    </w:p>
    <w:p w:rsidR="004E3483" w:rsidRPr="002A31CC" w:rsidRDefault="004E3483" w:rsidP="003D0BA3">
      <w:pPr>
        <w:pStyle w:val="SingleTxtGR"/>
      </w:pPr>
      <w:r w:rsidRPr="002A31CC">
        <w:t>11.</w:t>
      </w:r>
      <w:r w:rsidRPr="002A31CC">
        <w:tab/>
        <w:t>В соответствии с порядками, установленными законом, задержанные с момента задержания обеспечиваются адвокатом. Два раза в месяц следственные органы разрешают свидания задержанных с родственниками и членами семьи без ограничения количества свиданий и их продолжительности. Не зарегистр</w:t>
      </w:r>
      <w:r w:rsidRPr="002A31CC">
        <w:t>и</w:t>
      </w:r>
      <w:r w:rsidRPr="002A31CC">
        <w:t xml:space="preserve">ровано ни одной жалобы со стороны задержанных по поводу нарушения прав и применения пыток. </w:t>
      </w:r>
    </w:p>
    <w:p w:rsidR="004E3483" w:rsidRPr="002A31CC" w:rsidRDefault="004E3483" w:rsidP="003D0BA3">
      <w:pPr>
        <w:pStyle w:val="SingleTxtGR"/>
      </w:pPr>
      <w:r w:rsidRPr="002A31CC">
        <w:t>12.</w:t>
      </w:r>
      <w:r w:rsidRPr="002A31CC">
        <w:tab/>
        <w:t>Вопрос о создании независимого механизма проверки всех изоляторов соответствующими международными гуманитарными организациями или нез</w:t>
      </w:r>
      <w:r w:rsidRPr="002A31CC">
        <w:t>а</w:t>
      </w:r>
      <w:r w:rsidRPr="002A31CC">
        <w:t>висимыми национальными правозащитными неправительственными организ</w:t>
      </w:r>
      <w:r w:rsidRPr="002A31CC">
        <w:t>а</w:t>
      </w:r>
      <w:r w:rsidRPr="002A31CC">
        <w:t xml:space="preserve">циями находится на стадии рассмотрения. </w:t>
      </w:r>
    </w:p>
    <w:p w:rsidR="004E3483" w:rsidRPr="002A31CC" w:rsidRDefault="003D0BA3" w:rsidP="003D0BA3">
      <w:pPr>
        <w:pStyle w:val="H23GR"/>
      </w:pPr>
      <w:r w:rsidRPr="002A31CC">
        <w:tab/>
      </w:r>
      <w:r w:rsidRPr="002A31CC">
        <w:tab/>
      </w:r>
      <w:r w:rsidR="004E3483" w:rsidRPr="002A31CC">
        <w:t>Информация о выполнении рекомендаций Комитета, изложенных в</w:t>
      </w:r>
      <w:r w:rsidR="00E53B8A" w:rsidRPr="002A31CC">
        <w:t> </w:t>
      </w:r>
      <w:r w:rsidR="004E3483" w:rsidRPr="002A31CC">
        <w:t>пункте</w:t>
      </w:r>
      <w:r w:rsidR="00E53B8A" w:rsidRPr="002A31CC">
        <w:t> </w:t>
      </w:r>
      <w:r w:rsidR="004E3483" w:rsidRPr="002A31CC">
        <w:t>18</w:t>
      </w:r>
    </w:p>
    <w:p w:rsidR="004E3483" w:rsidRPr="002A31CC" w:rsidRDefault="004E3483" w:rsidP="003D0BA3">
      <w:pPr>
        <w:pStyle w:val="SingleTxtGR"/>
      </w:pPr>
      <w:r w:rsidRPr="002A31CC">
        <w:t>13.</w:t>
      </w:r>
      <w:r w:rsidRPr="002A31CC">
        <w:tab/>
        <w:t>В связи с рекомендацией в пункте 18 заключительных замечаний Респу</w:t>
      </w:r>
      <w:r w:rsidRPr="002A31CC">
        <w:t>б</w:t>
      </w:r>
      <w:r w:rsidRPr="002A31CC">
        <w:t>лика Таджикистан сообщает, что 23 июня 2007 года Указом Президента Респу</w:t>
      </w:r>
      <w:r w:rsidRPr="002A31CC">
        <w:t>б</w:t>
      </w:r>
      <w:r w:rsidRPr="002A31CC">
        <w:t xml:space="preserve">лики Таджикистан была принята и утверждена Программа судебно-правовой реформы на 2007–2010 годы, которая успешно претворена в жизнь. Выполнены мероприятия, заложенные в этой реформе, а именно: </w:t>
      </w:r>
    </w:p>
    <w:p w:rsidR="004E3483" w:rsidRPr="002A31CC" w:rsidRDefault="004E3483" w:rsidP="00DC6558">
      <w:pPr>
        <w:pStyle w:val="Bullet1GR"/>
      </w:pPr>
      <w:r w:rsidRPr="002A31CC">
        <w:t xml:space="preserve">принят Уголовно-процессуальный кодекс; </w:t>
      </w:r>
    </w:p>
    <w:p w:rsidR="004E3483" w:rsidRPr="002A31CC" w:rsidRDefault="004E3483" w:rsidP="00DC6558">
      <w:pPr>
        <w:pStyle w:val="Bullet1GR"/>
      </w:pPr>
      <w:r w:rsidRPr="002A31CC">
        <w:t xml:space="preserve">принят Гражданско-процессуальный кодекс; </w:t>
      </w:r>
    </w:p>
    <w:p w:rsidR="004E3483" w:rsidRPr="002A31CC" w:rsidRDefault="004E3483" w:rsidP="00DC6558">
      <w:pPr>
        <w:pStyle w:val="Bullet1GR"/>
      </w:pPr>
      <w:r w:rsidRPr="002A31CC">
        <w:t xml:space="preserve">принят Хозяйственно-процессуальный кодекс; </w:t>
      </w:r>
    </w:p>
    <w:p w:rsidR="004E3483" w:rsidRPr="002A31CC" w:rsidRDefault="004E3483" w:rsidP="00DC6558">
      <w:pPr>
        <w:pStyle w:val="Bullet1GR"/>
      </w:pPr>
      <w:r w:rsidRPr="002A31CC">
        <w:t>переведена в Министерство юстиции система исполнительного произво</w:t>
      </w:r>
      <w:r w:rsidRPr="002A31CC">
        <w:t>д</w:t>
      </w:r>
      <w:r w:rsidRPr="002A31CC">
        <w:t xml:space="preserve">ства; </w:t>
      </w:r>
    </w:p>
    <w:p w:rsidR="004E3483" w:rsidRPr="002A31CC" w:rsidRDefault="004E3483" w:rsidP="00DC6558">
      <w:pPr>
        <w:pStyle w:val="Bullet1GR"/>
      </w:pPr>
      <w:r w:rsidRPr="002A31CC">
        <w:lastRenderedPageBreak/>
        <w:t>созданы судебные коллегии по административным и семейным делам.</w:t>
      </w:r>
    </w:p>
    <w:p w:rsidR="004E3483" w:rsidRPr="002A31CC" w:rsidRDefault="004E3483" w:rsidP="003D0BA3">
      <w:pPr>
        <w:pStyle w:val="SingleTxtGR"/>
      </w:pPr>
      <w:r w:rsidRPr="002A31CC">
        <w:t>14.</w:t>
      </w:r>
      <w:r w:rsidRPr="002A31CC">
        <w:tab/>
        <w:t>Указом Президента Республики Таджикистан от 3 января 2011 года утверждена вторая Программа судебно-правовой реформы на 2011–2013 годы, которая также успешно выполнена.</w:t>
      </w:r>
    </w:p>
    <w:p w:rsidR="004E3483" w:rsidRPr="002A31CC" w:rsidRDefault="004E3483" w:rsidP="003D0BA3">
      <w:pPr>
        <w:pStyle w:val="SingleTxtGR"/>
      </w:pPr>
      <w:r w:rsidRPr="002A31CC">
        <w:t>15.</w:t>
      </w:r>
      <w:r w:rsidRPr="002A31CC">
        <w:tab/>
        <w:t>В послании Президента Республики Таджикистан от 23 апреля 2014 года "Об</w:t>
      </w:r>
      <w:r w:rsidR="00DC6558" w:rsidRPr="002A31CC">
        <w:t xml:space="preserve"> </w:t>
      </w:r>
      <w:r w:rsidRPr="002A31CC">
        <w:t>основных направлениях внутренней и внешней политики республики" о</w:t>
      </w:r>
      <w:r w:rsidRPr="002A31CC">
        <w:t>т</w:t>
      </w:r>
      <w:r w:rsidRPr="002A31CC">
        <w:t>мечено, что для развития судебной системы страны, повышения професси</w:t>
      </w:r>
      <w:r w:rsidRPr="002A31CC">
        <w:t>о</w:t>
      </w:r>
      <w:r w:rsidRPr="002A31CC">
        <w:t>нального уровня судей, роли и позиции суда в реальном обеспечении защиты прав и свобод человека, законных интересов организаций и учреждений, нез</w:t>
      </w:r>
      <w:r w:rsidRPr="002A31CC">
        <w:t>а</w:t>
      </w:r>
      <w:r w:rsidRPr="002A31CC">
        <w:t>висимо от их организационно-правовой формы, в настоящее время разработана новая программа судебно-правовой системы на предстоящие три года, которая до конца текущего года должна быть представлена Президенту Республики Т</w:t>
      </w:r>
      <w:r w:rsidRPr="002A31CC">
        <w:t>а</w:t>
      </w:r>
      <w:r w:rsidRPr="002A31CC">
        <w:t>джикистан.</w:t>
      </w:r>
    </w:p>
    <w:p w:rsidR="004E3483" w:rsidRPr="002A31CC" w:rsidRDefault="004E3483" w:rsidP="003D0BA3">
      <w:pPr>
        <w:pStyle w:val="SingleTxtGR"/>
      </w:pPr>
      <w:r w:rsidRPr="002A31CC">
        <w:t>16.</w:t>
      </w:r>
      <w:r w:rsidRPr="002A31CC">
        <w:tab/>
        <w:t>Ведется работа над новой Программой судебно-правовой реформы на 2014–2016 годы, которая будет своевременно представлена Президенту Респу</w:t>
      </w:r>
      <w:r w:rsidRPr="002A31CC">
        <w:t>б</w:t>
      </w:r>
      <w:r w:rsidRPr="002A31CC">
        <w:t>лики Таджикистан.</w:t>
      </w:r>
    </w:p>
    <w:p w:rsidR="004E3483" w:rsidRPr="002A31CC" w:rsidRDefault="004E3483" w:rsidP="003D0BA3">
      <w:pPr>
        <w:pStyle w:val="SingleTxtGR"/>
      </w:pPr>
      <w:r w:rsidRPr="002A31CC">
        <w:t>17.</w:t>
      </w:r>
      <w:r w:rsidRPr="002A31CC">
        <w:tab/>
        <w:t>Для обеспечения судей достойной заработной платой Указом Президента Республики Таджикистан от 2 августа 2011 года под №</w:t>
      </w:r>
      <w:r w:rsidR="00DC6558" w:rsidRPr="002A31CC">
        <w:t xml:space="preserve"> </w:t>
      </w:r>
      <w:r w:rsidRPr="002A31CC">
        <w:t>1126 ежемесячная зар</w:t>
      </w:r>
      <w:r w:rsidRPr="002A31CC">
        <w:t>а</w:t>
      </w:r>
      <w:r w:rsidRPr="002A31CC">
        <w:t>ботная плата судей областных судов, города Душанбе, военного гарнизонного суда, экономических судов, городов, районов увеличен</w:t>
      </w:r>
      <w:r w:rsidR="00DE0AB5">
        <w:t>а</w:t>
      </w:r>
      <w:r w:rsidRPr="002A31CC">
        <w:t xml:space="preserve"> на 100%. </w:t>
      </w:r>
    </w:p>
    <w:p w:rsidR="004E3483" w:rsidRPr="002A31CC" w:rsidRDefault="004E3483" w:rsidP="003D0BA3">
      <w:pPr>
        <w:pStyle w:val="SingleTxtGR"/>
        <w:rPr>
          <w:rFonts w:eastAsia="MS Mincho"/>
          <w:color w:val="000000"/>
          <w:lang w:eastAsia="ja-JP"/>
        </w:rPr>
      </w:pPr>
      <w:r w:rsidRPr="002A31CC">
        <w:rPr>
          <w:rFonts w:eastAsia="MS Mincho"/>
          <w:color w:val="000000"/>
          <w:lang w:eastAsia="ja-JP"/>
        </w:rPr>
        <w:t>18.</w:t>
      </w:r>
      <w:r w:rsidRPr="002A31CC">
        <w:rPr>
          <w:rFonts w:eastAsia="MS Mincho"/>
          <w:color w:val="000000"/>
          <w:lang w:eastAsia="ja-JP"/>
        </w:rPr>
        <w:tab/>
      </w:r>
      <w:r w:rsidR="002A31CC" w:rsidRPr="002A31CC">
        <w:t xml:space="preserve">Что касается рекомендации в отношении разработки </w:t>
      </w:r>
      <w:r w:rsidR="002A31CC" w:rsidRPr="002A31CC">
        <w:rPr>
          <w:rFonts w:eastAsia="MS Mincho"/>
          <w:color w:val="000000"/>
          <w:lang w:eastAsia="ja-JP"/>
        </w:rPr>
        <w:t>процедуры и крит</w:t>
      </w:r>
      <w:r w:rsidR="002A31CC" w:rsidRPr="002A31CC">
        <w:rPr>
          <w:rFonts w:eastAsia="MS Mincho"/>
          <w:color w:val="000000"/>
          <w:lang w:eastAsia="ja-JP"/>
        </w:rPr>
        <w:t>е</w:t>
      </w:r>
      <w:r w:rsidR="002A31CC" w:rsidRPr="002A31CC">
        <w:rPr>
          <w:rFonts w:eastAsia="MS Mincho"/>
          <w:color w:val="000000"/>
          <w:lang w:eastAsia="ja-JP"/>
        </w:rPr>
        <w:t>риев доступности и условий членства в адвокатуре, гарантирующих независ</w:t>
      </w:r>
      <w:r w:rsidR="002A31CC" w:rsidRPr="002A31CC">
        <w:rPr>
          <w:rFonts w:eastAsia="MS Mincho"/>
          <w:color w:val="000000"/>
          <w:lang w:eastAsia="ja-JP"/>
        </w:rPr>
        <w:t>и</w:t>
      </w:r>
      <w:r w:rsidR="002A31CC" w:rsidRPr="002A31CC">
        <w:rPr>
          <w:rFonts w:eastAsia="MS Mincho"/>
          <w:color w:val="000000"/>
          <w:lang w:eastAsia="ja-JP"/>
        </w:rPr>
        <w:t>мость адвокатов и создание системы субсидируемой государством юридической помощи для нуждающихся лиц, следует отметит</w:t>
      </w:r>
      <w:r w:rsidR="002A31CC">
        <w:rPr>
          <w:rFonts w:eastAsia="MS Mincho"/>
          <w:color w:val="000000"/>
          <w:lang w:eastAsia="ja-JP"/>
        </w:rPr>
        <w:t>ь</w:t>
      </w:r>
      <w:r w:rsidR="002A31CC" w:rsidRPr="002A31CC">
        <w:rPr>
          <w:rFonts w:eastAsia="MS Mincho"/>
          <w:color w:val="000000"/>
          <w:lang w:eastAsia="ja-JP"/>
        </w:rPr>
        <w:t>, что для совершенствования деятельности по оказанию высокопрофессиональной правовой помощи пред</w:t>
      </w:r>
      <w:r w:rsidR="002A31CC" w:rsidRPr="002A31CC">
        <w:rPr>
          <w:rFonts w:eastAsia="MS Mincho"/>
          <w:color w:val="000000"/>
          <w:lang w:eastAsia="ja-JP"/>
        </w:rPr>
        <w:t>у</w:t>
      </w:r>
      <w:r w:rsidR="002A31CC" w:rsidRPr="002A31CC">
        <w:rPr>
          <w:rFonts w:eastAsia="MS Mincho"/>
          <w:color w:val="000000"/>
          <w:lang w:eastAsia="ja-JP"/>
        </w:rPr>
        <w:t xml:space="preserve">смотрена разработка соответствующего законодательного акта. </w:t>
      </w:r>
      <w:r w:rsidRPr="002A31CC">
        <w:rPr>
          <w:rFonts w:eastAsia="MS Mincho"/>
          <w:color w:val="000000"/>
          <w:lang w:eastAsia="ja-JP"/>
        </w:rPr>
        <w:t>В</w:t>
      </w:r>
      <w:r w:rsidR="00DC6558" w:rsidRPr="002A31CC">
        <w:rPr>
          <w:rFonts w:eastAsia="MS Mincho"/>
          <w:color w:val="000000"/>
          <w:lang w:eastAsia="ja-JP"/>
        </w:rPr>
        <w:t xml:space="preserve"> </w:t>
      </w:r>
      <w:r w:rsidRPr="002A31CC">
        <w:rPr>
          <w:rFonts w:eastAsia="MS Mincho"/>
          <w:color w:val="000000"/>
          <w:lang w:eastAsia="ja-JP"/>
        </w:rPr>
        <w:t xml:space="preserve">связи с этим рабочей группой был подготовлен проект </w:t>
      </w:r>
      <w:r w:rsidRPr="002A31CC">
        <w:rPr>
          <w:color w:val="000000"/>
        </w:rPr>
        <w:t>закона об адвокатской деятельности и адвокатуре.</w:t>
      </w:r>
      <w:r w:rsidRPr="002A31CC">
        <w:rPr>
          <w:rFonts w:eastAsia="MS Mincho"/>
          <w:color w:val="000000"/>
          <w:lang w:eastAsia="ja-JP"/>
        </w:rPr>
        <w:t xml:space="preserve"> Наряду с этим Министерством юстиции Республики Таджикистан подготовлен проект Концепции об оказании правовой помощи в Республике Т</w:t>
      </w:r>
      <w:r w:rsidRPr="002A31CC">
        <w:rPr>
          <w:rFonts w:eastAsia="MS Mincho"/>
          <w:color w:val="000000"/>
          <w:lang w:eastAsia="ja-JP"/>
        </w:rPr>
        <w:t>а</w:t>
      </w:r>
      <w:r w:rsidRPr="002A31CC">
        <w:rPr>
          <w:rFonts w:eastAsia="MS Mincho"/>
          <w:color w:val="000000"/>
          <w:lang w:eastAsia="ja-JP"/>
        </w:rPr>
        <w:t>джикистан. Цель данной концепции заключается в определении государстве</w:t>
      </w:r>
      <w:r w:rsidRPr="002A31CC">
        <w:rPr>
          <w:rFonts w:eastAsia="MS Mincho"/>
          <w:color w:val="000000"/>
          <w:lang w:eastAsia="ja-JP"/>
        </w:rPr>
        <w:t>н</w:t>
      </w:r>
      <w:r w:rsidRPr="002A31CC">
        <w:rPr>
          <w:rFonts w:eastAsia="MS Mincho"/>
          <w:color w:val="000000"/>
          <w:lang w:eastAsia="ja-JP"/>
        </w:rPr>
        <w:t>ной политики в области обеспечения граждан бесплатной юридической помощи и описании этапов ее формирования и реализации. Концепция направлена на реализацию права на получение юридической помощи и судебную защиту, к</w:t>
      </w:r>
      <w:r w:rsidRPr="002A31CC">
        <w:rPr>
          <w:rFonts w:eastAsia="MS Mincho"/>
          <w:color w:val="000000"/>
          <w:lang w:eastAsia="ja-JP"/>
        </w:rPr>
        <w:t>о</w:t>
      </w:r>
      <w:r w:rsidRPr="002A31CC">
        <w:rPr>
          <w:rFonts w:eastAsia="MS Mincho"/>
          <w:color w:val="000000"/>
          <w:lang w:eastAsia="ja-JP"/>
        </w:rPr>
        <w:t xml:space="preserve">торая гарантирована Конституцией страны. </w:t>
      </w:r>
    </w:p>
    <w:p w:rsidR="004E3483" w:rsidRPr="002A31CC" w:rsidRDefault="003D0BA3" w:rsidP="003D0BA3">
      <w:pPr>
        <w:pStyle w:val="H23GR"/>
      </w:pPr>
      <w:r w:rsidRPr="002A31CC">
        <w:tab/>
      </w:r>
      <w:r w:rsidRPr="002A31CC">
        <w:tab/>
      </w:r>
      <w:r w:rsidR="004E3483" w:rsidRPr="002A31CC">
        <w:t>Информация о выполнении рекомендаций Комитета, изложенных в</w:t>
      </w:r>
      <w:r w:rsidR="00E53B8A" w:rsidRPr="002A31CC">
        <w:t> </w:t>
      </w:r>
      <w:r w:rsidR="004E3483" w:rsidRPr="002A31CC">
        <w:t>пункте</w:t>
      </w:r>
      <w:r w:rsidR="00E53B8A" w:rsidRPr="002A31CC">
        <w:t> </w:t>
      </w:r>
      <w:r w:rsidR="004E3483" w:rsidRPr="002A31CC">
        <w:t>23</w:t>
      </w:r>
    </w:p>
    <w:p w:rsidR="004E3483" w:rsidRPr="002A31CC" w:rsidRDefault="004E3483" w:rsidP="003D0BA3">
      <w:pPr>
        <w:pStyle w:val="SingleTxtGR"/>
      </w:pPr>
      <w:r w:rsidRPr="002A31CC">
        <w:t>19.</w:t>
      </w:r>
      <w:r w:rsidRPr="002A31CC">
        <w:tab/>
        <w:t>В связи с рекомендацией в пункте 23 заключительных замечаний Респу</w:t>
      </w:r>
      <w:r w:rsidRPr="002A31CC">
        <w:t>б</w:t>
      </w:r>
      <w:r w:rsidRPr="002A31CC">
        <w:t xml:space="preserve">лика Таджикистан сообщает, что право граждан Республики Таджикистан на свободное объединение закреплено Конституцией </w:t>
      </w:r>
      <w:r w:rsidRPr="002A31CC">
        <w:rPr>
          <w:rFonts w:eastAsia="MS Mincho"/>
          <w:color w:val="000000"/>
          <w:lang w:eastAsia="ja-JP"/>
        </w:rPr>
        <w:t xml:space="preserve">Таджикистана </w:t>
      </w:r>
      <w:r w:rsidRPr="002A31CC">
        <w:t>и другими национальными законами, что соответствует Международному пакту о гра</w:t>
      </w:r>
      <w:r w:rsidRPr="002A31CC">
        <w:t>ж</w:t>
      </w:r>
      <w:r w:rsidRPr="002A31CC">
        <w:t xml:space="preserve">данских и политических правах. </w:t>
      </w:r>
      <w:r w:rsidR="00D148CE" w:rsidRPr="002A31CC">
        <w:t>С цел</w:t>
      </w:r>
      <w:r w:rsidR="00D148CE">
        <w:t>ь</w:t>
      </w:r>
      <w:r w:rsidR="00D148CE" w:rsidRPr="002A31CC">
        <w:t>ю упорядочения и регулирования нек</w:t>
      </w:r>
      <w:r w:rsidR="00D148CE" w:rsidRPr="002A31CC">
        <w:t>о</w:t>
      </w:r>
      <w:r w:rsidR="00D148CE" w:rsidRPr="002A31CC">
        <w:t xml:space="preserve">торых направлений деятельности общественных объединений 12 мая 2007 года в республике был принят закон "Об общественных объединениях". </w:t>
      </w:r>
      <w:r w:rsidRPr="002A31CC">
        <w:t>Согласно статье 41 этого Закона государственная перерегистрация общественных об</w:t>
      </w:r>
      <w:r w:rsidRPr="002A31CC">
        <w:t>ъ</w:t>
      </w:r>
      <w:r w:rsidRPr="002A31CC">
        <w:t>единений, созданных до введения в действие указанного Закона, была провед</w:t>
      </w:r>
      <w:r w:rsidRPr="002A31CC">
        <w:t>е</w:t>
      </w:r>
      <w:r w:rsidRPr="002A31CC">
        <w:t>на до 1 января 2008 года. Общественные объединения, не прошедшие в уст</w:t>
      </w:r>
      <w:r w:rsidRPr="002A31CC">
        <w:t>а</w:t>
      </w:r>
      <w:r w:rsidRPr="002A31CC">
        <w:t>новленные сроки процедуру перерегистрации, теряют право юридического л</w:t>
      </w:r>
      <w:r w:rsidRPr="002A31CC">
        <w:t>и</w:t>
      </w:r>
      <w:r w:rsidRPr="002A31CC">
        <w:t xml:space="preserve">ца, а их свидетельства о регистрации по решению регистрирующего органа подлежат аннулированию. </w:t>
      </w:r>
    </w:p>
    <w:p w:rsidR="004E3483" w:rsidRPr="002A31CC" w:rsidRDefault="004E3483" w:rsidP="003D0BA3">
      <w:pPr>
        <w:pStyle w:val="SingleTxtGR"/>
      </w:pPr>
      <w:r w:rsidRPr="002A31CC">
        <w:lastRenderedPageBreak/>
        <w:t>20.</w:t>
      </w:r>
      <w:r w:rsidRPr="002A31CC">
        <w:tab/>
        <w:t>Для защиты прав и интересов таких объединений, статьей 23 данного З</w:t>
      </w:r>
      <w:r w:rsidRPr="002A31CC">
        <w:t>а</w:t>
      </w:r>
      <w:r w:rsidRPr="002A31CC">
        <w:t xml:space="preserve">кона предусмотрено, что отказ в государственной регистрации общественного объединения, а также уклонения от такой регистрации может быть обжаловано в суде. Отказ в государственной регистрации общественного объединения не является препятствием для повторной подачи документов на государственную регистрацию. </w:t>
      </w:r>
    </w:p>
    <w:p w:rsidR="00DC6558" w:rsidRPr="002A31CC" w:rsidRDefault="004E3483" w:rsidP="004E3483">
      <w:pPr>
        <w:pStyle w:val="SingleTxtGR"/>
      </w:pPr>
      <w:r w:rsidRPr="002A31CC">
        <w:t>21.</w:t>
      </w:r>
      <w:r w:rsidRPr="002A31CC">
        <w:tab/>
        <w:t xml:space="preserve">Таким образом, национальным законодательством </w:t>
      </w:r>
      <w:r w:rsidRPr="002A31CC">
        <w:rPr>
          <w:rFonts w:eastAsia="MS Mincho"/>
          <w:color w:val="000000"/>
          <w:lang w:eastAsia="ja-JP"/>
        </w:rPr>
        <w:t xml:space="preserve">Таджикистана </w:t>
      </w:r>
      <w:r w:rsidRPr="002A31CC">
        <w:t>не вв</w:t>
      </w:r>
      <w:r w:rsidRPr="002A31CC">
        <w:t>е</w:t>
      </w:r>
      <w:r w:rsidRPr="002A31CC">
        <w:t>дены необоснованные ограничения для свободного осуществления деятельн</w:t>
      </w:r>
      <w:r w:rsidRPr="002A31CC">
        <w:t>о</w:t>
      </w:r>
      <w:r w:rsidRPr="002A31CC">
        <w:t>сти общественных объединений в республике. В целях защиты своих прав и интересов они имеют законные возможности беспрепятственно обращаться в суд.</w:t>
      </w:r>
    </w:p>
    <w:p w:rsidR="00B45B33" w:rsidRPr="002A31CC" w:rsidRDefault="00E53B8A" w:rsidP="00E53B8A">
      <w:pPr>
        <w:spacing w:before="240"/>
        <w:jc w:val="center"/>
        <w:rPr>
          <w:u w:val="single"/>
        </w:rPr>
      </w:pPr>
      <w:r w:rsidRPr="002A31CC">
        <w:rPr>
          <w:u w:val="single"/>
        </w:rPr>
        <w:tab/>
      </w:r>
      <w:r w:rsidRPr="002A31CC">
        <w:rPr>
          <w:u w:val="single"/>
        </w:rPr>
        <w:tab/>
      </w:r>
      <w:r w:rsidRPr="002A31CC">
        <w:rPr>
          <w:u w:val="single"/>
        </w:rPr>
        <w:tab/>
      </w:r>
    </w:p>
    <w:sectPr w:rsidR="00B45B33" w:rsidRPr="002A31CC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1F" w:rsidRDefault="00B5191F">
      <w:r>
        <w:rPr>
          <w:lang w:val="en-US"/>
        </w:rPr>
        <w:tab/>
      </w:r>
      <w:r>
        <w:separator/>
      </w:r>
    </w:p>
  </w:endnote>
  <w:endnote w:type="continuationSeparator" w:id="0">
    <w:p w:rsidR="00B5191F" w:rsidRDefault="00B5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4A05AF">
      <w:rPr>
        <w:rStyle w:val="ad"/>
        <w:noProof/>
      </w:rPr>
      <w:t>4</w:t>
    </w:r>
    <w:r>
      <w:rPr>
        <w:rStyle w:val="ad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0544BF">
      <w:rPr>
        <w:lang w:val="en-US"/>
      </w:rPr>
      <w:t>5</w:t>
    </w:r>
    <w:r>
      <w:rPr>
        <w:lang w:val="en-US"/>
      </w:rPr>
      <w:t>-</w:t>
    </w:r>
    <w:r w:rsidR="00FF3257">
      <w:rPr>
        <w:lang w:val="en-US"/>
      </w:rPr>
      <w:t>07216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c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0544BF">
      <w:rPr>
        <w:lang w:val="en-US"/>
      </w:rPr>
      <w:t>5</w:t>
    </w:r>
    <w:r>
      <w:rPr>
        <w:lang w:val="en-US"/>
      </w:rPr>
      <w:t>-</w:t>
    </w:r>
    <w:r w:rsidR="00FF3257">
      <w:rPr>
        <w:lang w:val="en-US"/>
      </w:rPr>
      <w:t>07216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4A05AF">
      <w:rPr>
        <w:rStyle w:val="ad"/>
        <w:noProof/>
      </w:rPr>
      <w:t>5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Pr="00D148CE" w:rsidRDefault="00FF6D71" w:rsidP="00D148CE">
          <w:r>
            <w:rPr>
              <w:lang w:val="en-US"/>
            </w:rPr>
            <w:t>GE.</w:t>
          </w:r>
          <w:r w:rsidR="00224189">
            <w:rPr>
              <w:lang w:val="en-US"/>
            </w:rPr>
            <w:t>1</w:t>
          </w:r>
          <w:r w:rsidR="000544BF">
            <w:rPr>
              <w:lang w:val="en-US"/>
            </w:rPr>
            <w:t>5</w:t>
          </w:r>
          <w:r w:rsidR="00381289">
            <w:rPr>
              <w:lang w:val="en-US"/>
            </w:rPr>
            <w:t>-</w:t>
          </w:r>
          <w:r w:rsidR="00D148CE">
            <w:t>07216</w:t>
          </w:r>
          <w:r w:rsidR="00381289">
            <w:rPr>
              <w:lang w:val="en-US"/>
            </w:rPr>
            <w:t xml:space="preserve">  (R)</w:t>
          </w:r>
          <w:r w:rsidR="00D148CE">
            <w:t xml:space="preserve">  150415  150415</w:t>
          </w:r>
        </w:p>
      </w:tc>
      <w:tc>
        <w:tcPr>
          <w:tcW w:w="4663" w:type="dxa"/>
          <w:vMerge w:val="restart"/>
          <w:vAlign w:val="bottom"/>
        </w:tcPr>
        <w:p w:rsidR="00381289" w:rsidRDefault="00224189" w:rsidP="00611264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318330B" wp14:editId="726AF107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81289" w:rsidRDefault="00D148CE" w:rsidP="0061126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950" cy="869950"/>
                <wp:effectExtent l="0" t="0" r="6350" b="6350"/>
                <wp:docPr id="4" name="Рисунок 4" descr="http://undocs.org/m2/QRCode2.ashx?DS=CCPR/C/TJK/CO/2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TJK/CO/2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D148CE" w:rsidRDefault="00D148CE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148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224189" w:rsidP="006E7AF7">
    <w:pPr>
      <w:pStyle w:val="ac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D2398" wp14:editId="470B655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6E7AF7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6E7AF7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A05AF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6E7AF7" w:rsidP="006E7AF7">
                    <w:pPr>
                      <w:rPr>
                        <w:lang w:val="en-US"/>
                      </w:rPr>
                    </w:pPr>
                  </w:p>
                  <w:p w:rsidR="006E7AF7" w:rsidRDefault="006E7AF7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A05AF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1F" w:rsidRPr="00F71F63" w:rsidRDefault="00B5191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5191F" w:rsidRPr="00F71F63" w:rsidRDefault="00B5191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5191F" w:rsidRPr="00635E86" w:rsidRDefault="00B5191F" w:rsidP="00635E86">
      <w:pPr>
        <w:pStyle w:val="ac"/>
      </w:pPr>
    </w:p>
  </w:footnote>
  <w:footnote w:id="1">
    <w:p w:rsidR="002D7CC4" w:rsidRPr="002D7CC4" w:rsidRDefault="002D7CC4">
      <w:pPr>
        <w:pStyle w:val="af"/>
        <w:rPr>
          <w:szCs w:val="18"/>
          <w:lang w:val="en-US"/>
        </w:rPr>
      </w:pPr>
      <w:r>
        <w:tab/>
      </w:r>
      <w:r w:rsidRPr="002D7CC4">
        <w:rPr>
          <w:rStyle w:val="ab"/>
          <w:szCs w:val="18"/>
          <w:vertAlign w:val="baseline"/>
        </w:rPr>
        <w:t>*</w:t>
      </w:r>
      <w:r w:rsidRPr="002D7CC4">
        <w:rPr>
          <w:szCs w:val="18"/>
        </w:rPr>
        <w:t xml:space="preserve"> </w:t>
      </w:r>
      <w:r w:rsidRPr="002D7CC4">
        <w:rPr>
          <w:szCs w:val="18"/>
        </w:rPr>
        <w:tab/>
      </w:r>
      <w:proofErr w:type="spellStart"/>
      <w:r w:rsidR="00B45B33" w:rsidRPr="006A7EE8">
        <w:rPr>
          <w:spacing w:val="0"/>
          <w:w w:val="100"/>
          <w:kern w:val="0"/>
        </w:rPr>
        <w:t>Настоящий</w:t>
      </w:r>
      <w:proofErr w:type="spellEnd"/>
      <w:r w:rsidR="00B45B33" w:rsidRPr="006A7EE8">
        <w:rPr>
          <w:spacing w:val="0"/>
          <w:w w:val="100"/>
          <w:kern w:val="0"/>
        </w:rPr>
        <w:t xml:space="preserve"> </w:t>
      </w:r>
      <w:proofErr w:type="spellStart"/>
      <w:r w:rsidR="00B45B33" w:rsidRPr="006A7EE8">
        <w:rPr>
          <w:spacing w:val="0"/>
          <w:w w:val="100"/>
          <w:kern w:val="0"/>
        </w:rPr>
        <w:t>документ</w:t>
      </w:r>
      <w:proofErr w:type="spellEnd"/>
      <w:r w:rsidR="00B45B33" w:rsidRPr="006A7EE8">
        <w:rPr>
          <w:spacing w:val="0"/>
          <w:w w:val="100"/>
          <w:kern w:val="0"/>
        </w:rPr>
        <w:t xml:space="preserve"> </w:t>
      </w:r>
      <w:proofErr w:type="spellStart"/>
      <w:r w:rsidR="00B45B33" w:rsidRPr="006A7EE8">
        <w:rPr>
          <w:spacing w:val="0"/>
          <w:w w:val="100"/>
          <w:kern w:val="0"/>
        </w:rPr>
        <w:t>выпускается</w:t>
      </w:r>
      <w:proofErr w:type="spellEnd"/>
      <w:r w:rsidR="00B45B33" w:rsidRPr="006A7EE8">
        <w:rPr>
          <w:spacing w:val="0"/>
          <w:w w:val="100"/>
          <w:kern w:val="0"/>
        </w:rPr>
        <w:t xml:space="preserve"> </w:t>
      </w:r>
      <w:proofErr w:type="spellStart"/>
      <w:r w:rsidR="00B45B33" w:rsidRPr="006A7EE8">
        <w:t>без</w:t>
      </w:r>
      <w:proofErr w:type="spellEnd"/>
      <w:r w:rsidR="00B45B33" w:rsidRPr="006A7EE8">
        <w:t xml:space="preserve"> </w:t>
      </w:r>
      <w:proofErr w:type="spellStart"/>
      <w:r w:rsidR="00B45B33" w:rsidRPr="006A7EE8">
        <w:t>официального</w:t>
      </w:r>
      <w:proofErr w:type="spellEnd"/>
      <w:r w:rsidR="00B45B33" w:rsidRPr="006A7EE8">
        <w:t xml:space="preserve"> </w:t>
      </w:r>
      <w:proofErr w:type="spellStart"/>
      <w:r w:rsidR="00B45B33" w:rsidRPr="006A7EE8">
        <w:t>редактирования</w:t>
      </w:r>
      <w:proofErr w:type="spellEnd"/>
      <w:r w:rsidR="00B45B33" w:rsidRPr="006A7EE8">
        <w:rPr>
          <w:spacing w:val="0"/>
          <w:w w:val="100"/>
          <w:kern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9"/>
      <w:rPr>
        <w:lang w:val="en-US"/>
      </w:rPr>
    </w:pPr>
    <w:proofErr w:type="spellStart"/>
    <w:r>
      <w:rPr>
        <w:lang w:val="en-US"/>
      </w:rPr>
      <w:t>CCPR</w:t>
    </w:r>
    <w:proofErr w:type="spellEnd"/>
    <w:r>
      <w:rPr>
        <w:lang w:val="en-US"/>
      </w:rPr>
      <w:t>/</w:t>
    </w:r>
    <w:r w:rsidR="00FF3257">
      <w:rPr>
        <w:lang w:val="en-US"/>
      </w:rPr>
      <w:t>C/</w:t>
    </w:r>
    <w:proofErr w:type="spellStart"/>
    <w:r w:rsidR="00FF3257">
      <w:rPr>
        <w:lang w:val="en-US"/>
      </w:rPr>
      <w:t>TJK</w:t>
    </w:r>
    <w:proofErr w:type="spellEnd"/>
    <w:r w:rsidR="00FF3257">
      <w:rPr>
        <w:lang w:val="en-US"/>
      </w:rPr>
      <w:t>/CO/2/Add.1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9"/>
      <w:rPr>
        <w:lang w:val="en-US"/>
      </w:rPr>
    </w:pPr>
    <w:r>
      <w:rPr>
        <w:lang w:val="en-US"/>
      </w:rPr>
      <w:tab/>
    </w:r>
    <w:proofErr w:type="spellStart"/>
    <w:r>
      <w:rPr>
        <w:lang w:val="en-US"/>
      </w:rPr>
      <w:t>CCPR</w:t>
    </w:r>
    <w:proofErr w:type="spellEnd"/>
    <w:r>
      <w:rPr>
        <w:lang w:val="en-US"/>
      </w:rPr>
      <w:t>/</w:t>
    </w:r>
    <w:r w:rsidR="00FF3257">
      <w:rPr>
        <w:lang w:val="en-US"/>
      </w:rPr>
      <w:t>C/</w:t>
    </w:r>
    <w:proofErr w:type="spellStart"/>
    <w:r w:rsidR="00FF3257">
      <w:rPr>
        <w:lang w:val="en-US"/>
      </w:rPr>
      <w:t>TJK</w:t>
    </w:r>
    <w:proofErr w:type="spellEnd"/>
    <w:r w:rsidR="00FF3257">
      <w:rPr>
        <w:lang w:val="en-US"/>
      </w:rPr>
      <w:t>/CO/2/Add.1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061636"/>
    <w:multiLevelType w:val="hybridMultilevel"/>
    <w:tmpl w:val="AAD09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34AC4"/>
    <w:multiLevelType w:val="hybridMultilevel"/>
    <w:tmpl w:val="0A76D15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  <w:num w:numId="19">
    <w:abstractNumId w:val="12"/>
  </w:num>
  <w:num w:numId="20">
    <w:abstractNumId w:val="16"/>
  </w:num>
  <w:num w:numId="21">
    <w:abstractNumId w:val="12"/>
  </w:num>
  <w:num w:numId="22">
    <w:abstractNumId w:val="15"/>
  </w:num>
  <w:num w:numId="23">
    <w:abstractNumId w:val="15"/>
  </w:num>
  <w:num w:numId="24">
    <w:abstractNumId w:val="13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1F"/>
    <w:rsid w:val="000033D8"/>
    <w:rsid w:val="00005C1C"/>
    <w:rsid w:val="00016553"/>
    <w:rsid w:val="000233B3"/>
    <w:rsid w:val="00023E9E"/>
    <w:rsid w:val="00024DCE"/>
    <w:rsid w:val="00026B0C"/>
    <w:rsid w:val="0003638E"/>
    <w:rsid w:val="00036FF2"/>
    <w:rsid w:val="0004010A"/>
    <w:rsid w:val="00043D88"/>
    <w:rsid w:val="00046E4D"/>
    <w:rsid w:val="000544BF"/>
    <w:rsid w:val="0006401A"/>
    <w:rsid w:val="00071514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189"/>
    <w:rsid w:val="00232D42"/>
    <w:rsid w:val="00237334"/>
    <w:rsid w:val="002444F4"/>
    <w:rsid w:val="002629A0"/>
    <w:rsid w:val="0028492B"/>
    <w:rsid w:val="00291C8F"/>
    <w:rsid w:val="002A31CC"/>
    <w:rsid w:val="002C5036"/>
    <w:rsid w:val="002C6A71"/>
    <w:rsid w:val="002C6D5F"/>
    <w:rsid w:val="002D15EA"/>
    <w:rsid w:val="002D6C07"/>
    <w:rsid w:val="002D7CC4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0BA3"/>
    <w:rsid w:val="003D5EBD"/>
    <w:rsid w:val="00401CE0"/>
    <w:rsid w:val="00403234"/>
    <w:rsid w:val="00407AC3"/>
    <w:rsid w:val="00411B74"/>
    <w:rsid w:val="00414586"/>
    <w:rsid w:val="00415059"/>
    <w:rsid w:val="00424FDD"/>
    <w:rsid w:val="0043033D"/>
    <w:rsid w:val="00435FE4"/>
    <w:rsid w:val="00457634"/>
    <w:rsid w:val="00474F42"/>
    <w:rsid w:val="0048244D"/>
    <w:rsid w:val="004A05AF"/>
    <w:rsid w:val="004A0DE8"/>
    <w:rsid w:val="004A4CB7"/>
    <w:rsid w:val="004A57B5"/>
    <w:rsid w:val="004B19DA"/>
    <w:rsid w:val="004C2A53"/>
    <w:rsid w:val="004C3B35"/>
    <w:rsid w:val="004C43EC"/>
    <w:rsid w:val="004E3483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0A76"/>
    <w:rsid w:val="00A800D1"/>
    <w:rsid w:val="00A92699"/>
    <w:rsid w:val="00AB5BF0"/>
    <w:rsid w:val="00AC1C95"/>
    <w:rsid w:val="00AC2CCB"/>
    <w:rsid w:val="00AC443A"/>
    <w:rsid w:val="00AE60E2"/>
    <w:rsid w:val="00B0169F"/>
    <w:rsid w:val="00B03BCB"/>
    <w:rsid w:val="00B05F21"/>
    <w:rsid w:val="00B14EA9"/>
    <w:rsid w:val="00B30A3C"/>
    <w:rsid w:val="00B45B33"/>
    <w:rsid w:val="00B5191F"/>
    <w:rsid w:val="00B81305"/>
    <w:rsid w:val="00BB17DC"/>
    <w:rsid w:val="00BB1AF9"/>
    <w:rsid w:val="00BB4C4A"/>
    <w:rsid w:val="00BC70E3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8CE"/>
    <w:rsid w:val="00D26B13"/>
    <w:rsid w:val="00D26CC1"/>
    <w:rsid w:val="00D30662"/>
    <w:rsid w:val="00D32A0B"/>
    <w:rsid w:val="00D6236B"/>
    <w:rsid w:val="00D76358"/>
    <w:rsid w:val="00D809D1"/>
    <w:rsid w:val="00D84ECF"/>
    <w:rsid w:val="00D95A89"/>
    <w:rsid w:val="00DA2851"/>
    <w:rsid w:val="00DA2B7C"/>
    <w:rsid w:val="00DA5686"/>
    <w:rsid w:val="00DB2FC0"/>
    <w:rsid w:val="00DC6558"/>
    <w:rsid w:val="00DE0AB5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3B8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45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3257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link w:val="SingleTxtGChar"/>
    <w:rsid w:val="004E348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23G">
    <w:name w:val="_ H_2/3_G"/>
    <w:basedOn w:val="a2"/>
    <w:next w:val="a2"/>
    <w:rsid w:val="004E348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4E348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link w:val="SingleTxtGChar"/>
    <w:rsid w:val="004E348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23G">
    <w:name w:val="_ H_2/3_G"/>
    <w:basedOn w:val="a2"/>
    <w:next w:val="a2"/>
    <w:rsid w:val="004E348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4E348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A9FF8-2D44-4943-A427-4C7D38040CF1}"/>
</file>

<file path=customXml/itemProps2.xml><?xml version="1.0" encoding="utf-8"?>
<ds:datastoreItem xmlns:ds="http://schemas.openxmlformats.org/officeDocument/2006/customXml" ds:itemID="{82A7CB59-EBDF-4983-80BA-D53843D8786D}"/>
</file>

<file path=customXml/itemProps3.xml><?xml version="1.0" encoding="utf-8"?>
<ds:datastoreItem xmlns:ds="http://schemas.openxmlformats.org/officeDocument/2006/customXml" ds:itemID="{E56F1996-CC0A-494C-B225-DE3721CC2E1D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5</Pages>
  <Words>1490</Words>
  <Characters>10613</Characters>
  <Application>Microsoft Office Word</Application>
  <DocSecurity>0</DocSecurity>
  <Lines>201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Marina Korotkova</dc:creator>
  <cp:lastModifiedBy>Marina Korotkova</cp:lastModifiedBy>
  <cp:revision>3</cp:revision>
  <cp:lastPrinted>2015-04-15T10:30:00Z</cp:lastPrinted>
  <dcterms:created xsi:type="dcterms:W3CDTF">2015-04-15T10:30:00Z</dcterms:created>
  <dcterms:modified xsi:type="dcterms:W3CDTF">2015-04-15T10:31:00Z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