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09"/>
        <w:gridCol w:w="2410"/>
        <w:gridCol w:w="2268"/>
        <w:gridCol w:w="2795"/>
      </w:tblGrid>
      <w:tr w:rsidR="00AC3AB4">
        <w:trPr>
          <w:trHeight w:val="1852"/>
        </w:trPr>
        <w:tc>
          <w:tcPr>
            <w:tcW w:w="1809" w:type="dxa"/>
          </w:tcPr>
          <w:p w:rsidR="00AC3AB4" w:rsidRPr="00433401" w:rsidRDefault="00AC3AB4" w:rsidP="009C1DF0">
            <w:pPr>
              <w:jc w:val="both"/>
              <w:rPr>
                <w:rFonts w:ascii="Arial" w:hAnsi="Arial"/>
                <w:b/>
                <w:sz w:val="28"/>
              </w:rPr>
            </w:pPr>
            <w:bookmarkStart w:id="0" w:name="_GoBack"/>
            <w:bookmarkEnd w:id="0"/>
            <w:r w:rsidRPr="00433401">
              <w:rPr>
                <w:rFonts w:ascii="Arial" w:hAnsi="Arial"/>
                <w:b/>
                <w:noProof/>
                <w:sz w:val="28"/>
                <w:lang w:val="ru-RU" w:eastAsia="ru-RU"/>
              </w:rPr>
              <w:drawing>
                <wp:inline distT="0" distB="0" distL="0" distR="0">
                  <wp:extent cx="916728" cy="916728"/>
                  <wp:effectExtent l="0" t="0" r="0" b="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srcRect/>
                          <a:stretch>
                            <a:fillRect/>
                          </a:stretch>
                        </pic:blipFill>
                        <pic:spPr bwMode="auto">
                          <a:xfrm>
                            <a:off x="0" y="0"/>
                            <a:ext cx="911399" cy="911399"/>
                          </a:xfrm>
                          <a:prstGeom prst="rect">
                            <a:avLst/>
                          </a:prstGeom>
                          <a:noFill/>
                          <a:ln w="9525">
                            <a:noFill/>
                            <a:miter lim="800000"/>
                            <a:headEnd/>
                            <a:tailEnd/>
                          </a:ln>
                        </pic:spPr>
                      </pic:pic>
                    </a:graphicData>
                  </a:graphic>
                </wp:inline>
              </w:drawing>
            </w:r>
          </w:p>
        </w:tc>
        <w:tc>
          <w:tcPr>
            <w:tcW w:w="2410" w:type="dxa"/>
          </w:tcPr>
          <w:p w:rsidR="00F754A2" w:rsidRDefault="00AC3AB4" w:rsidP="009C1DF0">
            <w:pPr>
              <w:jc w:val="both"/>
              <w:rPr>
                <w:rFonts w:ascii="Arial" w:hAnsi="Arial"/>
                <w:b/>
                <w:sz w:val="28"/>
              </w:rPr>
            </w:pPr>
            <w:r w:rsidRPr="00AD7424">
              <w:rPr>
                <w:rFonts w:ascii="Arial" w:hAnsi="Arial"/>
                <w:b/>
                <w:noProof/>
                <w:sz w:val="28"/>
                <w:lang w:val="ru-RU" w:eastAsia="ru-RU"/>
              </w:rPr>
              <w:drawing>
                <wp:inline distT="0" distB="0" distL="0" distR="0">
                  <wp:extent cx="659514" cy="687098"/>
                  <wp:effectExtent l="25400" t="0" r="886" b="0"/>
                  <wp:docPr id="14" nam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pic:cNvPicPr>
                            <a:picLocks noChangeAspect="1" noChangeArrowheads="1"/>
                          </pic:cNvPicPr>
                        </pic:nvPicPr>
                        <pic:blipFill>
                          <a:blip r:embed="rId10"/>
                          <a:srcRect/>
                          <a:stretch>
                            <a:fillRect/>
                          </a:stretch>
                        </pic:blipFill>
                        <pic:spPr bwMode="auto">
                          <a:xfrm>
                            <a:off x="0" y="0"/>
                            <a:ext cx="673696" cy="701873"/>
                          </a:xfrm>
                          <a:prstGeom prst="rect">
                            <a:avLst/>
                          </a:prstGeom>
                          <a:noFill/>
                          <a:ln w="9525">
                            <a:noFill/>
                            <a:miter lim="800000"/>
                            <a:headEnd/>
                            <a:tailEnd/>
                          </a:ln>
                        </pic:spPr>
                      </pic:pic>
                    </a:graphicData>
                  </a:graphic>
                </wp:inline>
              </w:drawing>
            </w:r>
          </w:p>
          <w:p w:rsidR="00AC3AB4" w:rsidRPr="00F754A2" w:rsidRDefault="005D0705" w:rsidP="009C1DF0">
            <w:pPr>
              <w:jc w:val="both"/>
              <w:rPr>
                <w:rFonts w:ascii="Arial" w:hAnsi="Arial"/>
                <w:b/>
                <w:sz w:val="28"/>
              </w:rPr>
            </w:pPr>
            <w:r>
              <w:rPr>
                <w:rFonts w:ascii="Arial" w:hAnsi="Arial"/>
                <w:b/>
                <w:sz w:val="28"/>
              </w:rPr>
              <w:t xml:space="preserve">              </w:t>
            </w:r>
            <w:r w:rsidR="00F754A2" w:rsidRPr="00F754A2">
              <w:rPr>
                <w:rFonts w:ascii="Arial" w:hAnsi="Arial"/>
                <w:b/>
                <w:noProof/>
                <w:sz w:val="28"/>
                <w:lang w:val="ru-RU" w:eastAsia="ru-RU"/>
              </w:rPr>
              <w:drawing>
                <wp:inline distT="0" distB="0" distL="0" distR="0">
                  <wp:extent cx="622109" cy="688763"/>
                  <wp:effectExtent l="25400" t="0" r="0" b="0"/>
                  <wp:docPr id="5" name="Bild 5" descr="::::::::private:var:folders:qJ:qJVXLCG5FOS7VoP-teYofk+++TI:-Tmp-:com.apple.mail.drag:logo_Kyrgyz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private:var:folders:qJ:qJVXLCG5FOS7VoP-teYofk+++TI:-Tmp-:com.apple.mail.drag:logo_Kyrgyz CAT.jpg"/>
                          <pic:cNvPicPr>
                            <a:picLocks noChangeAspect="1" noChangeArrowheads="1"/>
                          </pic:cNvPicPr>
                        </pic:nvPicPr>
                        <pic:blipFill>
                          <a:blip r:embed="rId11"/>
                          <a:srcRect/>
                          <a:stretch>
                            <a:fillRect/>
                          </a:stretch>
                        </pic:blipFill>
                        <pic:spPr bwMode="auto">
                          <a:xfrm>
                            <a:off x="0" y="0"/>
                            <a:ext cx="622109" cy="688763"/>
                          </a:xfrm>
                          <a:prstGeom prst="rect">
                            <a:avLst/>
                          </a:prstGeom>
                          <a:noFill/>
                          <a:ln w="9525">
                            <a:noFill/>
                            <a:miter lim="800000"/>
                            <a:headEnd/>
                            <a:tailEnd/>
                          </a:ln>
                        </pic:spPr>
                      </pic:pic>
                    </a:graphicData>
                  </a:graphic>
                </wp:inline>
              </w:drawing>
            </w:r>
          </w:p>
        </w:tc>
        <w:tc>
          <w:tcPr>
            <w:tcW w:w="2268" w:type="dxa"/>
          </w:tcPr>
          <w:p w:rsidR="00083F58" w:rsidRDefault="00AC3AB4" w:rsidP="009C1DF0">
            <w:pPr>
              <w:jc w:val="both"/>
              <w:rPr>
                <w:rFonts w:ascii="Arial" w:hAnsi="Arial"/>
                <w:b/>
                <w:sz w:val="28"/>
              </w:rPr>
            </w:pPr>
            <w:r w:rsidRPr="00155E0E">
              <w:rPr>
                <w:rFonts w:ascii="Arial" w:hAnsi="Arial"/>
                <w:b/>
                <w:noProof/>
                <w:sz w:val="28"/>
                <w:lang w:val="ru-RU" w:eastAsia="ru-RU"/>
              </w:rPr>
              <w:drawing>
                <wp:inline distT="0" distB="0" distL="0" distR="0">
                  <wp:extent cx="1220904" cy="544098"/>
                  <wp:effectExtent l="25400" t="0" r="0" b="0"/>
                  <wp:docPr id="15" name="Bild 9" descr="::ip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hr logo.jpg"/>
                          <pic:cNvPicPr>
                            <a:picLocks noChangeAspect="1" noChangeArrowheads="1"/>
                          </pic:cNvPicPr>
                        </pic:nvPicPr>
                        <pic:blipFill>
                          <a:blip r:embed="rId12"/>
                          <a:srcRect/>
                          <a:stretch>
                            <a:fillRect/>
                          </a:stretch>
                        </pic:blipFill>
                        <pic:spPr bwMode="auto">
                          <a:xfrm>
                            <a:off x="0" y="0"/>
                            <a:ext cx="1223103" cy="545078"/>
                          </a:xfrm>
                          <a:prstGeom prst="rect">
                            <a:avLst/>
                          </a:prstGeom>
                          <a:noFill/>
                          <a:ln w="9525">
                            <a:noFill/>
                            <a:miter lim="800000"/>
                            <a:headEnd/>
                            <a:tailEnd/>
                          </a:ln>
                        </pic:spPr>
                      </pic:pic>
                    </a:graphicData>
                  </a:graphic>
                </wp:inline>
              </w:drawing>
            </w:r>
          </w:p>
          <w:p w:rsidR="00AC3AB4" w:rsidRPr="00155E0E" w:rsidRDefault="00083F58" w:rsidP="009C1DF0">
            <w:pPr>
              <w:jc w:val="both"/>
              <w:rPr>
                <w:rFonts w:ascii="Arial" w:hAnsi="Arial"/>
                <w:b/>
                <w:sz w:val="28"/>
              </w:rPr>
            </w:pPr>
            <w:r>
              <w:rPr>
                <w:noProof/>
                <w:lang w:val="ru-RU" w:eastAsia="ru-RU"/>
              </w:rPr>
              <w:drawing>
                <wp:inline distT="0" distB="0" distL="0" distR="0">
                  <wp:extent cx="1200785" cy="731520"/>
                  <wp:effectExtent l="0" t="0" r="0" b="0"/>
                  <wp:docPr id="3" name="Image 1" descr="Description : Macintosh HD:Users:nb:Library:Caches:TemporaryItems:Outlook Temp:Logos OMCT PDF:v1.0_logoEN_OMCT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nb:Library:Caches:TemporaryItems:Outlook Temp:Logos OMCT PDF:v1.0_logoEN_OMCT2013.pdf"/>
                          <pic:cNvPicPr>
                            <a:picLocks noChangeAspect="1" noChangeArrowheads="1"/>
                          </pic:cNvPicPr>
                        </pic:nvPicPr>
                        <pic:blipFill>
                          <a:blip r:embed="rId13"/>
                          <a:srcRect l="30003" t="28426" r="31018" b="37543"/>
                          <a:stretch>
                            <a:fillRect/>
                          </a:stretch>
                        </pic:blipFill>
                        <pic:spPr bwMode="auto">
                          <a:xfrm>
                            <a:off x="0" y="0"/>
                            <a:ext cx="1200785" cy="731520"/>
                          </a:xfrm>
                          <a:prstGeom prst="rect">
                            <a:avLst/>
                          </a:prstGeom>
                          <a:noFill/>
                          <a:ln w="9525">
                            <a:noFill/>
                            <a:miter lim="800000"/>
                            <a:headEnd/>
                            <a:tailEnd/>
                          </a:ln>
                        </pic:spPr>
                      </pic:pic>
                    </a:graphicData>
                  </a:graphic>
                </wp:inline>
              </w:drawing>
            </w:r>
          </w:p>
        </w:tc>
        <w:tc>
          <w:tcPr>
            <w:tcW w:w="2795" w:type="dxa"/>
          </w:tcPr>
          <w:p w:rsidR="00AC3AB4" w:rsidRDefault="00AC3AB4" w:rsidP="009C1DF0">
            <w:pPr>
              <w:pStyle w:val="Default"/>
              <w:jc w:val="both"/>
              <w:rPr>
                <w:rFonts w:ascii="Arial" w:hAnsi="Arial"/>
                <w:noProof/>
                <w:sz w:val="20"/>
                <w:lang w:eastAsia="de-DE"/>
              </w:rPr>
            </w:pPr>
            <w:r w:rsidRPr="00681D42">
              <w:rPr>
                <w:rFonts w:ascii="Arial" w:hAnsi="Arial"/>
                <w:noProof/>
                <w:sz w:val="20"/>
                <w:lang w:val="ru-RU" w:eastAsia="ru-RU"/>
              </w:rPr>
              <w:drawing>
                <wp:inline distT="0" distB="0" distL="0" distR="0">
                  <wp:extent cx="1524000" cy="307128"/>
                  <wp:effectExtent l="2540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srcRect/>
                          <a:stretch>
                            <a:fillRect/>
                          </a:stretch>
                        </pic:blipFill>
                        <pic:spPr bwMode="auto">
                          <a:xfrm>
                            <a:off x="0" y="0"/>
                            <a:ext cx="1524000" cy="307128"/>
                          </a:xfrm>
                          <a:prstGeom prst="rect">
                            <a:avLst/>
                          </a:prstGeom>
                          <a:solidFill>
                            <a:srgbClr val="FFFFFF"/>
                          </a:solidFill>
                          <a:ln w="9525">
                            <a:noFill/>
                            <a:miter lim="800000"/>
                            <a:headEnd/>
                            <a:tailEnd/>
                          </a:ln>
                        </pic:spPr>
                      </pic:pic>
                    </a:graphicData>
                  </a:graphic>
                </wp:inline>
              </w:drawing>
            </w:r>
          </w:p>
          <w:p w:rsidR="00AC3AB4" w:rsidRDefault="00AC3AB4" w:rsidP="009C1DF0">
            <w:pPr>
              <w:pStyle w:val="Default"/>
              <w:jc w:val="both"/>
              <w:rPr>
                <w:rFonts w:ascii="Arial" w:hAnsi="Arial"/>
                <w:noProof/>
                <w:sz w:val="20"/>
                <w:lang w:eastAsia="de-DE"/>
              </w:rPr>
            </w:pPr>
          </w:p>
          <w:p w:rsidR="00AC3AB4" w:rsidRPr="00AD7424" w:rsidRDefault="00AC3AB4" w:rsidP="009C1DF0">
            <w:pPr>
              <w:pStyle w:val="Default"/>
              <w:jc w:val="both"/>
              <w:rPr>
                <w:rFonts w:ascii="Arial" w:hAnsi="Arial"/>
                <w:noProof/>
                <w:sz w:val="20"/>
                <w:lang w:eastAsia="de-DE"/>
              </w:rPr>
            </w:pPr>
            <w:r>
              <w:rPr>
                <w:rFonts w:ascii="Arial" w:hAnsi="Arial"/>
                <w:noProof/>
                <w:sz w:val="20"/>
                <w:lang w:val="ru-RU" w:eastAsia="ru-RU"/>
              </w:rPr>
              <w:drawing>
                <wp:anchor distT="0" distB="0" distL="114300" distR="114300" simplePos="0" relativeHeight="251659264" behindDoc="1" locked="0" layoutInCell="1" allowOverlap="1">
                  <wp:simplePos x="0" y="0"/>
                  <wp:positionH relativeFrom="column">
                    <wp:posOffset>-27305</wp:posOffset>
                  </wp:positionH>
                  <wp:positionV relativeFrom="paragraph">
                    <wp:posOffset>3810</wp:posOffset>
                  </wp:positionV>
                  <wp:extent cx="1549400" cy="617855"/>
                  <wp:effectExtent l="25400" t="0" r="0" b="0"/>
                  <wp:wrapTight wrapText="bothSides">
                    <wp:wrapPolygon edited="0">
                      <wp:start x="-354" y="0"/>
                      <wp:lineTo x="-354" y="21311"/>
                      <wp:lineTo x="21600" y="21311"/>
                      <wp:lineTo x="21600" y="0"/>
                      <wp:lineTo x="-354" y="0"/>
                    </wp:wrapPolygon>
                  </wp:wrapTight>
                  <wp:docPr id="17" name="Bild 2" descr="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2)"/>
                          <pic:cNvPicPr>
                            <a:picLocks noChangeAspect="1" noChangeArrowheads="1"/>
                          </pic:cNvPicPr>
                        </pic:nvPicPr>
                        <pic:blipFill>
                          <a:blip r:embed="rId15"/>
                          <a:srcRect/>
                          <a:stretch>
                            <a:fillRect/>
                          </a:stretch>
                        </pic:blipFill>
                        <pic:spPr bwMode="auto">
                          <a:xfrm>
                            <a:off x="0" y="0"/>
                            <a:ext cx="1549400" cy="617855"/>
                          </a:xfrm>
                          <a:prstGeom prst="rect">
                            <a:avLst/>
                          </a:prstGeom>
                          <a:noFill/>
                        </pic:spPr>
                      </pic:pic>
                    </a:graphicData>
                  </a:graphic>
                </wp:anchor>
              </w:drawing>
            </w:r>
          </w:p>
        </w:tc>
      </w:tr>
    </w:tbl>
    <w:p w:rsidR="00FC4A28" w:rsidRDefault="00FC4A28" w:rsidP="008B7D16">
      <w:pPr>
        <w:jc w:val="both"/>
        <w:rPr>
          <w:rFonts w:ascii="Arial" w:hAnsi="Arial"/>
          <w:b/>
          <w:sz w:val="28"/>
        </w:rPr>
      </w:pPr>
    </w:p>
    <w:p w:rsidR="00DF2E7D" w:rsidRDefault="00DF2E7D" w:rsidP="008B7D16">
      <w:pPr>
        <w:jc w:val="both"/>
        <w:rPr>
          <w:rFonts w:ascii="Arial" w:hAnsi="Arial"/>
          <w:b/>
          <w:sz w:val="28"/>
        </w:rPr>
      </w:pPr>
    </w:p>
    <w:p w:rsidR="00DF2E7D" w:rsidRDefault="00DF2E7D" w:rsidP="008B7D16">
      <w:pPr>
        <w:jc w:val="both"/>
        <w:rPr>
          <w:rFonts w:ascii="Arial" w:hAnsi="Arial"/>
          <w:b/>
          <w:sz w:val="28"/>
        </w:rPr>
      </w:pPr>
    </w:p>
    <w:p w:rsidR="00DF2E7D" w:rsidRDefault="00DF2E7D" w:rsidP="008B7D16">
      <w:pPr>
        <w:jc w:val="both"/>
        <w:rPr>
          <w:rFonts w:ascii="Arial" w:hAnsi="Arial"/>
          <w:b/>
          <w:sz w:val="28"/>
        </w:rPr>
      </w:pPr>
    </w:p>
    <w:p w:rsidR="00DF2E7D" w:rsidRDefault="00DF2E7D" w:rsidP="008B7D16">
      <w:pPr>
        <w:jc w:val="both"/>
        <w:rPr>
          <w:rFonts w:ascii="Arial" w:hAnsi="Arial"/>
          <w:b/>
          <w:sz w:val="28"/>
        </w:rPr>
      </w:pPr>
    </w:p>
    <w:p w:rsidR="00DF2E7D" w:rsidRDefault="00DF2E7D" w:rsidP="008B7D16">
      <w:pPr>
        <w:jc w:val="both"/>
        <w:rPr>
          <w:rFonts w:ascii="Arial" w:hAnsi="Arial"/>
          <w:b/>
          <w:sz w:val="28"/>
        </w:rPr>
      </w:pPr>
    </w:p>
    <w:p w:rsidR="00205BB2" w:rsidRPr="008B5BA0" w:rsidRDefault="00205BB2" w:rsidP="008B7D16">
      <w:pPr>
        <w:jc w:val="both"/>
        <w:rPr>
          <w:rFonts w:ascii="Arial" w:hAnsi="Arial"/>
          <w:b/>
          <w:sz w:val="28"/>
        </w:rPr>
      </w:pPr>
    </w:p>
    <w:p w:rsidR="001E288C" w:rsidRDefault="001E288C" w:rsidP="008B7D16">
      <w:pPr>
        <w:jc w:val="both"/>
        <w:rPr>
          <w:rFonts w:ascii="Arial" w:hAnsi="Arial"/>
          <w:b/>
          <w:sz w:val="20"/>
          <w:u w:val="single"/>
          <w:lang w:val="en-GB"/>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4A0C82" w:rsidRPr="00EF085E" w:rsidRDefault="004A0C82" w:rsidP="004A0C82">
      <w:pPr>
        <w:jc w:val="center"/>
        <w:rPr>
          <w:rFonts w:ascii="Arial" w:hAnsi="Arial"/>
          <w:b/>
          <w:sz w:val="36"/>
        </w:rPr>
      </w:pPr>
      <w:r w:rsidRPr="00EF085E">
        <w:rPr>
          <w:rFonts w:ascii="Arial" w:hAnsi="Arial"/>
          <w:b/>
          <w:sz w:val="36"/>
        </w:rPr>
        <w:t>Tajikistan needs to do more to end torture</w:t>
      </w:r>
    </w:p>
    <w:p w:rsidR="004A0C82" w:rsidRPr="00EF085E" w:rsidRDefault="004A0C82" w:rsidP="004A0C82">
      <w:pPr>
        <w:jc w:val="center"/>
        <w:rPr>
          <w:rFonts w:ascii="Arial" w:hAnsi="Arial"/>
          <w:b/>
          <w:sz w:val="36"/>
          <w:lang w:val="en-GB"/>
        </w:rPr>
      </w:pPr>
      <w:r w:rsidRPr="00EF085E">
        <w:rPr>
          <w:rFonts w:ascii="Arial" w:hAnsi="Arial"/>
          <w:b/>
          <w:sz w:val="36"/>
        </w:rPr>
        <w:t>An overview of current concerns</w:t>
      </w: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CF65E1" w:rsidRDefault="00CF65E1" w:rsidP="00DF2E7D">
      <w:pPr>
        <w:pStyle w:val="a5"/>
        <w:rPr>
          <w:rFonts w:ascii="Arial" w:hAnsi="Arial"/>
          <w:bCs/>
          <w:sz w:val="18"/>
        </w:rPr>
      </w:pPr>
    </w:p>
    <w:p w:rsidR="00CF65E1" w:rsidRDefault="00CF65E1" w:rsidP="00DF2E7D">
      <w:pPr>
        <w:pStyle w:val="a5"/>
        <w:rPr>
          <w:rFonts w:ascii="Arial" w:hAnsi="Arial"/>
          <w:bCs/>
          <w:sz w:val="18"/>
        </w:rPr>
      </w:pPr>
    </w:p>
    <w:p w:rsidR="00CF65E1" w:rsidRDefault="00CF65E1" w:rsidP="00DF2E7D">
      <w:pPr>
        <w:pStyle w:val="a5"/>
        <w:rPr>
          <w:rFonts w:ascii="Arial" w:hAnsi="Arial"/>
          <w:bCs/>
          <w:sz w:val="18"/>
        </w:rPr>
      </w:pPr>
    </w:p>
    <w:p w:rsidR="00CF65E1" w:rsidRDefault="00CF65E1"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CF65E1" w:rsidRDefault="00CF65E1" w:rsidP="00DF2E7D">
      <w:pPr>
        <w:pStyle w:val="a5"/>
        <w:rPr>
          <w:rFonts w:ascii="Arial" w:hAnsi="Arial"/>
          <w:bCs/>
          <w:sz w:val="18"/>
        </w:rPr>
      </w:pPr>
    </w:p>
    <w:p w:rsidR="00CF65E1" w:rsidRDefault="00CF65E1" w:rsidP="00DF2E7D">
      <w:pPr>
        <w:pStyle w:val="a5"/>
        <w:rPr>
          <w:rFonts w:ascii="Arial" w:hAnsi="Arial"/>
          <w:bCs/>
          <w:sz w:val="18"/>
        </w:rPr>
      </w:pPr>
    </w:p>
    <w:p w:rsidR="00CF65E1" w:rsidRDefault="00CF65E1"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4D140E" w:rsidRDefault="004D140E" w:rsidP="004D140E">
      <w:pPr>
        <w:pStyle w:val="a5"/>
        <w:jc w:val="center"/>
        <w:rPr>
          <w:rFonts w:ascii="Arial" w:hAnsi="Arial"/>
          <w:bCs/>
          <w:sz w:val="18"/>
        </w:rPr>
      </w:pPr>
      <w:r>
        <w:rPr>
          <w:rFonts w:ascii="Arial" w:hAnsi="Arial"/>
          <w:bCs/>
          <w:sz w:val="18"/>
        </w:rPr>
        <w:t>Publication date:</w:t>
      </w:r>
    </w:p>
    <w:p w:rsidR="00DF2E7D" w:rsidRDefault="004D140E" w:rsidP="004D140E">
      <w:pPr>
        <w:pStyle w:val="a5"/>
        <w:jc w:val="center"/>
        <w:rPr>
          <w:rFonts w:ascii="Arial" w:hAnsi="Arial"/>
          <w:bCs/>
          <w:sz w:val="18"/>
        </w:rPr>
      </w:pPr>
      <w:r>
        <w:rPr>
          <w:rFonts w:ascii="Arial" w:hAnsi="Arial"/>
          <w:bCs/>
          <w:sz w:val="18"/>
        </w:rPr>
        <w:t>10 February 2015</w:t>
      </w: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sz w:val="18"/>
        </w:rPr>
      </w:pPr>
    </w:p>
    <w:p w:rsidR="00DF2E7D" w:rsidRDefault="00DF2E7D" w:rsidP="00DF2E7D">
      <w:pPr>
        <w:pStyle w:val="a5"/>
        <w:rPr>
          <w:rFonts w:ascii="Arial" w:hAnsi="Arial"/>
          <w:bCs/>
          <w:i/>
          <w:iCs/>
          <w:sz w:val="18"/>
        </w:rPr>
      </w:pPr>
      <w:r w:rsidRPr="00A500C1">
        <w:rPr>
          <w:rFonts w:ascii="Arial" w:hAnsi="Arial"/>
          <w:bCs/>
          <w:sz w:val="18"/>
        </w:rPr>
        <w:t xml:space="preserve">This </w:t>
      </w:r>
      <w:r>
        <w:rPr>
          <w:rFonts w:ascii="Arial" w:hAnsi="Arial"/>
          <w:bCs/>
          <w:sz w:val="18"/>
        </w:rPr>
        <w:t xml:space="preserve">briefing </w:t>
      </w:r>
      <w:r w:rsidRPr="00A500C1">
        <w:rPr>
          <w:rFonts w:ascii="Arial" w:hAnsi="Arial"/>
          <w:bCs/>
          <w:sz w:val="18"/>
        </w:rPr>
        <w:t xml:space="preserve">is submitted by </w:t>
      </w:r>
      <w:r w:rsidRPr="00A500C1">
        <w:rPr>
          <w:rFonts w:ascii="Arial" w:hAnsi="Arial"/>
          <w:bCs/>
          <w:sz w:val="18"/>
          <w:lang w:val="de-DE"/>
        </w:rPr>
        <w:t xml:space="preserve">the </w:t>
      </w:r>
      <w:r w:rsidRPr="00A500C1">
        <w:rPr>
          <w:rFonts w:ascii="Arial" w:hAnsi="Arial"/>
          <w:b/>
          <w:bCs/>
          <w:sz w:val="18"/>
          <w:lang w:val="de-DE"/>
        </w:rPr>
        <w:t xml:space="preserve">coalitions against torture in </w:t>
      </w:r>
      <w:r w:rsidRPr="00021F83">
        <w:rPr>
          <w:rFonts w:ascii="Arial" w:hAnsi="Arial"/>
          <w:b/>
          <w:bCs/>
          <w:sz w:val="18"/>
          <w:lang w:val="de-DE"/>
        </w:rPr>
        <w:t>Kazakhstan</w:t>
      </w:r>
      <w:r w:rsidR="006A2D7B">
        <w:rPr>
          <w:rFonts w:ascii="Arial" w:hAnsi="Arial"/>
          <w:b/>
          <w:bCs/>
          <w:sz w:val="18"/>
          <w:lang w:val="de-DE"/>
        </w:rPr>
        <w:t>, Kyrgyzstan</w:t>
      </w:r>
      <w:r w:rsidR="008163EF">
        <w:rPr>
          <w:rFonts w:ascii="Arial" w:hAnsi="Arial"/>
          <w:b/>
          <w:bCs/>
          <w:sz w:val="18"/>
          <w:lang w:val="de-DE"/>
        </w:rPr>
        <w:t xml:space="preserve"> </w:t>
      </w:r>
      <w:r w:rsidRPr="00A500C1">
        <w:rPr>
          <w:rFonts w:ascii="Arial" w:hAnsi="Arial"/>
          <w:b/>
          <w:bCs/>
          <w:sz w:val="18"/>
          <w:lang w:val="de-DE"/>
        </w:rPr>
        <w:t>and Tajikistan</w:t>
      </w:r>
      <w:r w:rsidRPr="00A500C1">
        <w:rPr>
          <w:rFonts w:ascii="Arial" w:hAnsi="Arial"/>
          <w:bCs/>
          <w:sz w:val="18"/>
          <w:lang w:val="de-DE"/>
        </w:rPr>
        <w:t xml:space="preserve">, the </w:t>
      </w:r>
      <w:r w:rsidRPr="00A500C1">
        <w:rPr>
          <w:rFonts w:ascii="Arial" w:hAnsi="Arial"/>
          <w:b/>
          <w:bCs/>
          <w:sz w:val="18"/>
          <w:lang w:val="de-DE"/>
        </w:rPr>
        <w:t>Helsinki Foundation for Human Rights</w:t>
      </w:r>
      <w:r w:rsidRPr="00A500C1">
        <w:rPr>
          <w:rFonts w:ascii="Arial" w:hAnsi="Arial"/>
          <w:bCs/>
          <w:sz w:val="18"/>
          <w:lang w:val="de-DE"/>
        </w:rPr>
        <w:t xml:space="preserve"> (Poland) and </w:t>
      </w:r>
      <w:r w:rsidRPr="00A500C1">
        <w:rPr>
          <w:rFonts w:ascii="Arial" w:hAnsi="Arial"/>
          <w:b/>
          <w:bCs/>
          <w:sz w:val="18"/>
          <w:lang w:val="de-DE"/>
        </w:rPr>
        <w:t>International Partnership for Human Rights</w:t>
      </w:r>
      <w:r w:rsidRPr="00A500C1">
        <w:rPr>
          <w:rFonts w:ascii="Arial" w:hAnsi="Arial"/>
          <w:bCs/>
          <w:sz w:val="18"/>
          <w:lang w:val="de-DE"/>
        </w:rPr>
        <w:t xml:space="preserve"> (Belgium) – the initiators – together with </w:t>
      </w:r>
      <w:r w:rsidR="002950F5" w:rsidRPr="002619A6">
        <w:rPr>
          <w:rFonts w:ascii="Arial" w:hAnsi="Arial"/>
          <w:b/>
          <w:bCs/>
          <w:sz w:val="18"/>
          <w:lang w:val="de-DE"/>
        </w:rPr>
        <w:t>Amnesty International</w:t>
      </w:r>
      <w:r w:rsidR="002619A6">
        <w:rPr>
          <w:rFonts w:ascii="Arial" w:hAnsi="Arial"/>
          <w:bCs/>
          <w:sz w:val="18"/>
          <w:lang w:val="de-DE"/>
        </w:rPr>
        <w:t xml:space="preserve"> and the </w:t>
      </w:r>
      <w:r w:rsidR="002619A6" w:rsidRPr="002619A6">
        <w:rPr>
          <w:rFonts w:ascii="Arial" w:hAnsi="Arial"/>
          <w:b/>
          <w:bCs/>
          <w:sz w:val="18"/>
          <w:lang w:val="de-DE"/>
        </w:rPr>
        <w:t>World Organisation Against Torture</w:t>
      </w:r>
      <w:r w:rsidR="002619A6">
        <w:rPr>
          <w:rFonts w:ascii="Arial" w:hAnsi="Arial"/>
          <w:bCs/>
          <w:sz w:val="18"/>
          <w:lang w:val="de-DE"/>
        </w:rPr>
        <w:t xml:space="preserve"> (OMCT)</w:t>
      </w:r>
      <w:r w:rsidRPr="00A500C1">
        <w:rPr>
          <w:rFonts w:ascii="Arial" w:hAnsi="Arial"/>
          <w:bCs/>
          <w:sz w:val="18"/>
          <w:lang w:val="de-DE"/>
        </w:rPr>
        <w:t xml:space="preserve">. The initiators of this </w:t>
      </w:r>
      <w:r w:rsidR="00C803BA">
        <w:rPr>
          <w:rFonts w:ascii="Arial" w:hAnsi="Arial"/>
          <w:bCs/>
          <w:sz w:val="18"/>
          <w:lang w:val="de-DE"/>
        </w:rPr>
        <w:t xml:space="preserve">briefing </w:t>
      </w:r>
      <w:r w:rsidRPr="00A500C1">
        <w:rPr>
          <w:rFonts w:ascii="Arial" w:hAnsi="Arial"/>
          <w:sz w:val="18"/>
        </w:rPr>
        <w:t xml:space="preserve">have </w:t>
      </w:r>
      <w:r w:rsidRPr="00A500C1">
        <w:rPr>
          <w:rFonts w:ascii="Arial" w:hAnsi="Arial" w:cs="Helvetica"/>
          <w:sz w:val="18"/>
          <w:lang w:val="de-DE" w:eastAsia="de-DE"/>
        </w:rPr>
        <w:t xml:space="preserve">received financial assistance for its production from the European Union. The </w:t>
      </w:r>
      <w:r w:rsidR="00F83CF5">
        <w:rPr>
          <w:rFonts w:ascii="Arial" w:hAnsi="Arial" w:cs="Helvetica"/>
          <w:sz w:val="18"/>
          <w:lang w:val="de-DE" w:eastAsia="de-DE"/>
        </w:rPr>
        <w:t xml:space="preserve">document’s </w:t>
      </w:r>
      <w:r w:rsidRPr="00A500C1">
        <w:rPr>
          <w:rFonts w:ascii="Arial" w:hAnsi="Arial" w:cs="Helvetica"/>
          <w:sz w:val="18"/>
          <w:lang w:val="de-DE" w:eastAsia="de-DE"/>
        </w:rPr>
        <w:t>contents are the sole responsibility of the organizations issuing it and can under no circumstances be regarded as reflecting the position</w:t>
      </w:r>
      <w:r w:rsidR="004C368D">
        <w:rPr>
          <w:rFonts w:ascii="Arial" w:hAnsi="Arial" w:cs="Helvetica"/>
          <w:sz w:val="18"/>
          <w:lang w:val="de-DE" w:eastAsia="de-DE"/>
        </w:rPr>
        <w:t xml:space="preserve"> of the European Union</w:t>
      </w:r>
      <w:r w:rsidRPr="00A500C1">
        <w:rPr>
          <w:rFonts w:ascii="Arial" w:hAnsi="Arial"/>
          <w:bCs/>
          <w:i/>
          <w:iCs/>
          <w:sz w:val="18"/>
        </w:rPr>
        <w:t>.</w:t>
      </w:r>
    </w:p>
    <w:tbl>
      <w:tblPr>
        <w:tblW w:w="0" w:type="auto"/>
        <w:tblLook w:val="01E0" w:firstRow="1" w:lastRow="1" w:firstColumn="1" w:lastColumn="1" w:noHBand="0" w:noVBand="0"/>
      </w:tblPr>
      <w:tblGrid>
        <w:gridCol w:w="3369"/>
        <w:gridCol w:w="3541"/>
        <w:gridCol w:w="2370"/>
      </w:tblGrid>
      <w:tr w:rsidR="00DF2E7D" w:rsidRPr="00BA5762">
        <w:trPr>
          <w:trHeight w:val="1065"/>
        </w:trPr>
        <w:tc>
          <w:tcPr>
            <w:tcW w:w="3369" w:type="dxa"/>
            <w:shd w:val="clear" w:color="000000" w:fill="auto"/>
          </w:tcPr>
          <w:p w:rsidR="00DF2E7D" w:rsidRPr="00BA5762" w:rsidRDefault="00DF2E7D" w:rsidP="00732C2D">
            <w:pPr>
              <w:widowControl w:val="0"/>
              <w:autoSpaceDE w:val="0"/>
              <w:autoSpaceDN w:val="0"/>
              <w:adjustRightInd w:val="0"/>
              <w:rPr>
                <w:rFonts w:ascii="Arial" w:hAnsi="Arial"/>
                <w:color w:val="000000"/>
                <w:sz w:val="18"/>
                <w:lang w:val="ru-RU"/>
              </w:rPr>
            </w:pPr>
            <w:r>
              <w:rPr>
                <w:rFonts w:ascii="Arial" w:hAnsi="Arial"/>
                <w:noProof/>
                <w:color w:val="000000"/>
                <w:sz w:val="18"/>
                <w:lang w:val="ru-RU" w:eastAsia="ru-RU"/>
              </w:rPr>
              <w:drawing>
                <wp:inline distT="0" distB="0" distL="0" distR="0">
                  <wp:extent cx="897255" cy="609600"/>
                  <wp:effectExtent l="2540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srcRect/>
                          <a:stretch>
                            <a:fillRect/>
                          </a:stretch>
                        </pic:blipFill>
                        <pic:spPr bwMode="auto">
                          <a:xfrm>
                            <a:off x="0" y="0"/>
                            <a:ext cx="897255" cy="609600"/>
                          </a:xfrm>
                          <a:prstGeom prst="rect">
                            <a:avLst/>
                          </a:prstGeom>
                          <a:noFill/>
                          <a:ln w="9525">
                            <a:noFill/>
                            <a:miter lim="800000"/>
                            <a:headEnd/>
                            <a:tailEnd/>
                          </a:ln>
                        </pic:spPr>
                      </pic:pic>
                    </a:graphicData>
                  </a:graphic>
                </wp:inline>
              </w:drawing>
            </w:r>
          </w:p>
        </w:tc>
        <w:tc>
          <w:tcPr>
            <w:tcW w:w="3541" w:type="dxa"/>
            <w:shd w:val="clear" w:color="000000" w:fill="auto"/>
          </w:tcPr>
          <w:p w:rsidR="00DF2E7D" w:rsidRPr="00BA5762" w:rsidRDefault="00DF2E7D" w:rsidP="00732C2D">
            <w:pPr>
              <w:widowControl w:val="0"/>
              <w:autoSpaceDE w:val="0"/>
              <w:autoSpaceDN w:val="0"/>
              <w:adjustRightInd w:val="0"/>
              <w:rPr>
                <w:rFonts w:ascii="Arial" w:hAnsi="Arial"/>
                <w:color w:val="000000"/>
                <w:sz w:val="18"/>
                <w:lang w:val="ru-RU"/>
              </w:rPr>
            </w:pPr>
          </w:p>
          <w:p w:rsidR="00DF2E7D" w:rsidRPr="00BA5762" w:rsidRDefault="00DF2E7D" w:rsidP="00732C2D">
            <w:pPr>
              <w:widowControl w:val="0"/>
              <w:autoSpaceDE w:val="0"/>
              <w:autoSpaceDN w:val="0"/>
              <w:adjustRightInd w:val="0"/>
              <w:rPr>
                <w:rFonts w:ascii="Arial" w:hAnsi="Arial"/>
                <w:color w:val="000000"/>
                <w:sz w:val="18"/>
                <w:lang w:val="ru-RU"/>
              </w:rPr>
            </w:pPr>
          </w:p>
          <w:p w:rsidR="00DF2E7D" w:rsidRPr="00BA5762" w:rsidRDefault="00DF2E7D" w:rsidP="00732C2D">
            <w:pPr>
              <w:widowControl w:val="0"/>
              <w:autoSpaceDE w:val="0"/>
              <w:autoSpaceDN w:val="0"/>
              <w:adjustRightInd w:val="0"/>
              <w:rPr>
                <w:rFonts w:ascii="Arial" w:hAnsi="Arial"/>
                <w:color w:val="000000"/>
                <w:sz w:val="18"/>
                <w:lang w:val="ru-RU"/>
              </w:rPr>
            </w:pPr>
          </w:p>
        </w:tc>
        <w:tc>
          <w:tcPr>
            <w:tcW w:w="2370" w:type="dxa"/>
            <w:shd w:val="clear" w:color="000000" w:fill="auto"/>
          </w:tcPr>
          <w:p w:rsidR="00DF2E7D" w:rsidRPr="00BA5762" w:rsidRDefault="00DF2E7D" w:rsidP="00732C2D">
            <w:pPr>
              <w:widowControl w:val="0"/>
              <w:autoSpaceDE w:val="0"/>
              <w:autoSpaceDN w:val="0"/>
              <w:adjustRightInd w:val="0"/>
              <w:rPr>
                <w:rFonts w:ascii="Arial" w:hAnsi="Arial"/>
                <w:color w:val="000000"/>
                <w:sz w:val="18"/>
                <w:lang w:val="ru-RU"/>
              </w:rPr>
            </w:pPr>
          </w:p>
          <w:p w:rsidR="00DF2E7D" w:rsidRPr="00BA5762" w:rsidRDefault="00DF2E7D" w:rsidP="00732C2D">
            <w:pPr>
              <w:widowControl w:val="0"/>
              <w:autoSpaceDE w:val="0"/>
              <w:autoSpaceDN w:val="0"/>
              <w:adjustRightInd w:val="0"/>
              <w:rPr>
                <w:rFonts w:ascii="Arial" w:hAnsi="Arial"/>
                <w:color w:val="000000"/>
                <w:sz w:val="18"/>
                <w:lang w:val="ru-RU"/>
              </w:rPr>
            </w:pPr>
          </w:p>
          <w:p w:rsidR="00DF2E7D" w:rsidRPr="00BA5762" w:rsidRDefault="00DF2E7D" w:rsidP="00732C2D">
            <w:pPr>
              <w:widowControl w:val="0"/>
              <w:autoSpaceDE w:val="0"/>
              <w:autoSpaceDN w:val="0"/>
              <w:adjustRightInd w:val="0"/>
              <w:rPr>
                <w:rFonts w:ascii="Arial" w:hAnsi="Arial"/>
                <w:color w:val="000000"/>
                <w:sz w:val="18"/>
                <w:lang w:val="ru-RU"/>
              </w:rPr>
            </w:pPr>
          </w:p>
          <w:p w:rsidR="00DF2E7D" w:rsidRPr="00BA5762" w:rsidRDefault="00DF2E7D" w:rsidP="00732C2D">
            <w:pPr>
              <w:widowControl w:val="0"/>
              <w:autoSpaceDE w:val="0"/>
              <w:autoSpaceDN w:val="0"/>
              <w:adjustRightInd w:val="0"/>
              <w:rPr>
                <w:rFonts w:ascii="Arial" w:hAnsi="Arial"/>
                <w:color w:val="000000"/>
                <w:sz w:val="18"/>
                <w:lang w:val="ru-RU"/>
              </w:rPr>
            </w:pPr>
          </w:p>
        </w:tc>
      </w:tr>
    </w:tbl>
    <w:p w:rsidR="00BB2850" w:rsidRDefault="00DF2E7D" w:rsidP="00BB2850">
      <w:pPr>
        <w:jc w:val="center"/>
        <w:rPr>
          <w:rFonts w:ascii="Arial" w:hAnsi="Arial"/>
          <w:b/>
          <w:sz w:val="28"/>
          <w:lang w:val="en-GB"/>
        </w:rPr>
      </w:pPr>
      <w:r>
        <w:rPr>
          <w:rFonts w:ascii="Arial" w:hAnsi="Arial"/>
          <w:b/>
          <w:sz w:val="20"/>
          <w:lang w:val="en-GB"/>
        </w:rPr>
        <w:br w:type="page"/>
      </w:r>
      <w:r w:rsidR="00DE6EB3" w:rsidRPr="00BB2850">
        <w:rPr>
          <w:rFonts w:ascii="Arial" w:hAnsi="Arial"/>
          <w:b/>
          <w:sz w:val="28"/>
          <w:lang w:val="en-GB"/>
        </w:rPr>
        <w:lastRenderedPageBreak/>
        <w:t>TABLE OF CONTENTS</w:t>
      </w:r>
    </w:p>
    <w:p w:rsidR="00DE6EB3" w:rsidRPr="00BB2850" w:rsidRDefault="00DE6EB3" w:rsidP="00BB2850">
      <w:pPr>
        <w:jc w:val="center"/>
        <w:rPr>
          <w:rFonts w:ascii="Arial" w:hAnsi="Arial"/>
          <w:b/>
          <w:sz w:val="28"/>
          <w:lang w:val="en-GB"/>
        </w:rPr>
      </w:pPr>
    </w:p>
    <w:p w:rsidR="00DE6EB3" w:rsidRDefault="00DE6EB3">
      <w:pPr>
        <w:rPr>
          <w:rFonts w:ascii="Arial" w:hAnsi="Arial"/>
          <w:b/>
          <w:sz w:val="20"/>
          <w:lang w:val="en-GB"/>
        </w:rPr>
      </w:pPr>
    </w:p>
    <w:p w:rsidR="00BB2850" w:rsidRPr="00BB2850" w:rsidRDefault="00F351AD">
      <w:pPr>
        <w:pStyle w:val="11"/>
        <w:tabs>
          <w:tab w:val="right" w:pos="9056"/>
        </w:tabs>
        <w:rPr>
          <w:rFonts w:ascii="Arial" w:eastAsiaTheme="minorEastAsia" w:hAnsi="Arial"/>
          <w:noProof/>
          <w:lang w:eastAsia="de-DE"/>
        </w:rPr>
      </w:pPr>
      <w:r w:rsidRPr="00BB2850">
        <w:rPr>
          <w:rFonts w:ascii="Arial" w:hAnsi="Arial"/>
          <w:b/>
          <w:lang w:val="en-GB"/>
        </w:rPr>
        <w:fldChar w:fldCharType="begin"/>
      </w:r>
      <w:r w:rsidR="00BB2850" w:rsidRPr="00BB2850">
        <w:rPr>
          <w:rFonts w:ascii="Arial" w:hAnsi="Arial"/>
          <w:b/>
          <w:lang w:val="en-GB"/>
        </w:rPr>
        <w:instrText xml:space="preserve"> TOC \o "1-3" </w:instrText>
      </w:r>
      <w:r w:rsidRPr="00BB2850">
        <w:rPr>
          <w:rFonts w:ascii="Arial" w:hAnsi="Arial"/>
          <w:b/>
          <w:lang w:val="en-GB"/>
        </w:rPr>
        <w:fldChar w:fldCharType="separate"/>
      </w:r>
      <w:r w:rsidR="00BB2850" w:rsidRPr="00BB2850">
        <w:rPr>
          <w:rFonts w:ascii="Arial" w:hAnsi="Arial"/>
          <w:noProof/>
          <w:lang w:val="en-GB"/>
        </w:rPr>
        <w:t>INTRODUCTION</w:t>
      </w:r>
      <w:r w:rsidR="00BB2850" w:rsidRPr="00BB2850">
        <w:rPr>
          <w:rFonts w:ascii="Arial" w:hAnsi="Arial"/>
          <w:noProof/>
        </w:rPr>
        <w:tab/>
      </w:r>
      <w:r w:rsidRPr="00BB2850">
        <w:rPr>
          <w:rFonts w:ascii="Arial" w:hAnsi="Arial"/>
          <w:noProof/>
        </w:rPr>
        <w:fldChar w:fldCharType="begin"/>
      </w:r>
      <w:r w:rsidR="00BB2850" w:rsidRPr="00BB2850">
        <w:rPr>
          <w:rFonts w:ascii="Arial" w:hAnsi="Arial"/>
          <w:noProof/>
        </w:rPr>
        <w:instrText xml:space="preserve"> PAGEREF _Toc285095802 \h </w:instrText>
      </w:r>
      <w:r w:rsidRPr="00BB2850">
        <w:rPr>
          <w:rFonts w:ascii="Arial" w:hAnsi="Arial"/>
          <w:noProof/>
        </w:rPr>
      </w:r>
      <w:r w:rsidRPr="00BB2850">
        <w:rPr>
          <w:rFonts w:ascii="Arial" w:hAnsi="Arial"/>
          <w:noProof/>
        </w:rPr>
        <w:fldChar w:fldCharType="separate"/>
      </w:r>
      <w:r w:rsidR="000B1A7D">
        <w:rPr>
          <w:rFonts w:ascii="Arial" w:hAnsi="Arial"/>
          <w:noProof/>
        </w:rPr>
        <w:t>3</w:t>
      </w:r>
      <w:r w:rsidRPr="00BB2850">
        <w:rPr>
          <w:rFonts w:ascii="Arial" w:hAnsi="Arial"/>
          <w:noProof/>
        </w:rPr>
        <w:fldChar w:fldCharType="end"/>
      </w:r>
    </w:p>
    <w:p w:rsidR="00BB2850" w:rsidRPr="00BB2850" w:rsidRDefault="00BB2850">
      <w:pPr>
        <w:pStyle w:val="11"/>
        <w:tabs>
          <w:tab w:val="right" w:pos="9056"/>
        </w:tabs>
        <w:rPr>
          <w:rFonts w:ascii="Arial" w:eastAsiaTheme="minorEastAsia" w:hAnsi="Arial"/>
          <w:noProof/>
          <w:lang w:eastAsia="de-DE"/>
        </w:rPr>
      </w:pPr>
      <w:r w:rsidRPr="00BB2850">
        <w:rPr>
          <w:rFonts w:ascii="Arial" w:hAnsi="Arial"/>
          <w:noProof/>
        </w:rPr>
        <w:t>LEGAL SAFEGUARDS NEED TO BE STRENGTHENED AND</w:t>
      </w:r>
      <w:r w:rsidRPr="00BB2850">
        <w:rPr>
          <w:rFonts w:ascii="Arial" w:hAnsi="Arial"/>
          <w:noProof/>
          <w:lang w:val="en-GB"/>
        </w:rPr>
        <w:t xml:space="preserve"> FULLY</w:t>
      </w:r>
      <w:r w:rsidRPr="00BB2850">
        <w:rPr>
          <w:rFonts w:ascii="Arial" w:hAnsi="Arial"/>
          <w:noProof/>
        </w:rPr>
        <w:t xml:space="preserve"> IMPLEMENTED</w:t>
      </w:r>
      <w:r w:rsidRPr="00BB2850">
        <w:rPr>
          <w:rFonts w:ascii="Arial" w:hAnsi="Arial"/>
          <w:noProof/>
        </w:rPr>
        <w:tab/>
      </w:r>
      <w:r w:rsidR="00F351AD" w:rsidRPr="00BB2850">
        <w:rPr>
          <w:rFonts w:ascii="Arial" w:hAnsi="Arial"/>
          <w:noProof/>
        </w:rPr>
        <w:fldChar w:fldCharType="begin"/>
      </w:r>
      <w:r w:rsidRPr="00BB2850">
        <w:rPr>
          <w:rFonts w:ascii="Arial" w:hAnsi="Arial"/>
          <w:noProof/>
        </w:rPr>
        <w:instrText xml:space="preserve"> PAGEREF _Toc285095803 \h </w:instrText>
      </w:r>
      <w:r w:rsidR="00F351AD" w:rsidRPr="00BB2850">
        <w:rPr>
          <w:rFonts w:ascii="Arial" w:hAnsi="Arial"/>
          <w:noProof/>
        </w:rPr>
      </w:r>
      <w:r w:rsidR="00F351AD" w:rsidRPr="00BB2850">
        <w:rPr>
          <w:rFonts w:ascii="Arial" w:hAnsi="Arial"/>
          <w:noProof/>
        </w:rPr>
        <w:fldChar w:fldCharType="separate"/>
      </w:r>
      <w:r w:rsidR="000B1A7D">
        <w:rPr>
          <w:rFonts w:ascii="Arial" w:hAnsi="Arial"/>
          <w:noProof/>
        </w:rPr>
        <w:t>5</w:t>
      </w:r>
      <w:r w:rsidR="00F351AD" w:rsidRPr="00BB2850">
        <w:rPr>
          <w:rFonts w:ascii="Arial" w:hAnsi="Arial"/>
          <w:noProof/>
        </w:rPr>
        <w:fldChar w:fldCharType="end"/>
      </w:r>
    </w:p>
    <w:p w:rsidR="00BB2850" w:rsidRPr="00BB2850" w:rsidRDefault="00BB2850">
      <w:pPr>
        <w:pStyle w:val="11"/>
        <w:tabs>
          <w:tab w:val="right" w:pos="9056"/>
        </w:tabs>
        <w:rPr>
          <w:rFonts w:ascii="Arial" w:eastAsiaTheme="minorEastAsia" w:hAnsi="Arial"/>
          <w:noProof/>
          <w:lang w:eastAsia="de-DE"/>
        </w:rPr>
      </w:pPr>
      <w:r w:rsidRPr="00BB2850">
        <w:rPr>
          <w:rFonts w:ascii="Arial" w:hAnsi="Arial"/>
          <w:noProof/>
          <w:lang w:val="fr-FR"/>
        </w:rPr>
        <w:t>ENDING IMPUNITY</w:t>
      </w:r>
      <w:r w:rsidRPr="00BB2850">
        <w:rPr>
          <w:rFonts w:ascii="Arial" w:hAnsi="Arial"/>
          <w:noProof/>
        </w:rPr>
        <w:tab/>
      </w:r>
      <w:r w:rsidR="00F351AD" w:rsidRPr="00BB2850">
        <w:rPr>
          <w:rFonts w:ascii="Arial" w:hAnsi="Arial"/>
          <w:noProof/>
        </w:rPr>
        <w:fldChar w:fldCharType="begin"/>
      </w:r>
      <w:r w:rsidRPr="00BB2850">
        <w:rPr>
          <w:rFonts w:ascii="Arial" w:hAnsi="Arial"/>
          <w:noProof/>
        </w:rPr>
        <w:instrText xml:space="preserve"> PAGEREF _Toc285095804 \h </w:instrText>
      </w:r>
      <w:r w:rsidR="00F351AD" w:rsidRPr="00BB2850">
        <w:rPr>
          <w:rFonts w:ascii="Arial" w:hAnsi="Arial"/>
          <w:noProof/>
        </w:rPr>
      </w:r>
      <w:r w:rsidR="00F351AD" w:rsidRPr="00BB2850">
        <w:rPr>
          <w:rFonts w:ascii="Arial" w:hAnsi="Arial"/>
          <w:noProof/>
        </w:rPr>
        <w:fldChar w:fldCharType="separate"/>
      </w:r>
      <w:r w:rsidR="000B1A7D">
        <w:rPr>
          <w:rFonts w:ascii="Arial" w:hAnsi="Arial"/>
          <w:noProof/>
        </w:rPr>
        <w:t>8</w:t>
      </w:r>
      <w:r w:rsidR="00F351AD" w:rsidRPr="00BB2850">
        <w:rPr>
          <w:rFonts w:ascii="Arial" w:hAnsi="Arial"/>
          <w:noProof/>
        </w:rPr>
        <w:fldChar w:fldCharType="end"/>
      </w:r>
    </w:p>
    <w:p w:rsidR="00BB2850" w:rsidRPr="00BB2850" w:rsidRDefault="00BB2850">
      <w:pPr>
        <w:pStyle w:val="11"/>
        <w:tabs>
          <w:tab w:val="right" w:pos="9056"/>
        </w:tabs>
        <w:rPr>
          <w:rFonts w:ascii="Arial" w:eastAsiaTheme="minorEastAsia" w:hAnsi="Arial"/>
          <w:noProof/>
          <w:lang w:eastAsia="de-DE"/>
        </w:rPr>
      </w:pPr>
      <w:r w:rsidRPr="00BB2850">
        <w:rPr>
          <w:rFonts w:ascii="Arial" w:hAnsi="Arial"/>
          <w:noProof/>
        </w:rPr>
        <w:t>TORTURE AND OTHER ILL-TREATMENT IN THE ARMED FORCES</w:t>
      </w:r>
      <w:r w:rsidRPr="00BB2850">
        <w:rPr>
          <w:rFonts w:ascii="Arial" w:hAnsi="Arial"/>
          <w:noProof/>
        </w:rPr>
        <w:tab/>
      </w:r>
      <w:r w:rsidR="00F351AD" w:rsidRPr="00BB2850">
        <w:rPr>
          <w:rFonts w:ascii="Arial" w:hAnsi="Arial"/>
          <w:noProof/>
        </w:rPr>
        <w:fldChar w:fldCharType="begin"/>
      </w:r>
      <w:r w:rsidRPr="00BB2850">
        <w:rPr>
          <w:rFonts w:ascii="Arial" w:hAnsi="Arial"/>
          <w:noProof/>
        </w:rPr>
        <w:instrText xml:space="preserve"> PAGEREF _Toc285095805 \h </w:instrText>
      </w:r>
      <w:r w:rsidR="00F351AD" w:rsidRPr="00BB2850">
        <w:rPr>
          <w:rFonts w:ascii="Arial" w:hAnsi="Arial"/>
          <w:noProof/>
        </w:rPr>
      </w:r>
      <w:r w:rsidR="00F351AD" w:rsidRPr="00BB2850">
        <w:rPr>
          <w:rFonts w:ascii="Arial" w:hAnsi="Arial"/>
          <w:noProof/>
        </w:rPr>
        <w:fldChar w:fldCharType="separate"/>
      </w:r>
      <w:r w:rsidR="000B1A7D">
        <w:rPr>
          <w:rFonts w:ascii="Arial" w:hAnsi="Arial"/>
          <w:noProof/>
        </w:rPr>
        <w:t>10</w:t>
      </w:r>
      <w:r w:rsidR="00F351AD" w:rsidRPr="00BB2850">
        <w:rPr>
          <w:rFonts w:ascii="Arial" w:hAnsi="Arial"/>
          <w:noProof/>
        </w:rPr>
        <w:fldChar w:fldCharType="end"/>
      </w:r>
    </w:p>
    <w:p w:rsidR="00BB2850" w:rsidRPr="00BB2850" w:rsidRDefault="00BB2850">
      <w:pPr>
        <w:pStyle w:val="11"/>
        <w:tabs>
          <w:tab w:val="right" w:pos="9056"/>
        </w:tabs>
        <w:rPr>
          <w:rFonts w:ascii="Arial" w:eastAsiaTheme="minorEastAsia" w:hAnsi="Arial"/>
          <w:noProof/>
          <w:lang w:eastAsia="de-DE"/>
        </w:rPr>
      </w:pPr>
      <w:r w:rsidRPr="00BB2850">
        <w:rPr>
          <w:rFonts w:ascii="Arial" w:hAnsi="Arial"/>
          <w:noProof/>
          <w:lang w:val="en-GB"/>
        </w:rPr>
        <w:t>RECOMMENDATIONS</w:t>
      </w:r>
      <w:r w:rsidRPr="00BB2850">
        <w:rPr>
          <w:rFonts w:ascii="Arial" w:hAnsi="Arial"/>
          <w:noProof/>
        </w:rPr>
        <w:tab/>
      </w:r>
      <w:r w:rsidR="00F351AD" w:rsidRPr="00BB2850">
        <w:rPr>
          <w:rFonts w:ascii="Arial" w:hAnsi="Arial"/>
          <w:noProof/>
        </w:rPr>
        <w:fldChar w:fldCharType="begin"/>
      </w:r>
      <w:r w:rsidRPr="00BB2850">
        <w:rPr>
          <w:rFonts w:ascii="Arial" w:hAnsi="Arial"/>
          <w:noProof/>
        </w:rPr>
        <w:instrText xml:space="preserve"> PAGEREF _Toc285095806 \h </w:instrText>
      </w:r>
      <w:r w:rsidR="00F351AD" w:rsidRPr="00BB2850">
        <w:rPr>
          <w:rFonts w:ascii="Arial" w:hAnsi="Arial"/>
          <w:noProof/>
        </w:rPr>
      </w:r>
      <w:r w:rsidR="00F351AD" w:rsidRPr="00BB2850">
        <w:rPr>
          <w:rFonts w:ascii="Arial" w:hAnsi="Arial"/>
          <w:noProof/>
        </w:rPr>
        <w:fldChar w:fldCharType="separate"/>
      </w:r>
      <w:r w:rsidR="000B1A7D">
        <w:rPr>
          <w:rFonts w:ascii="Arial" w:hAnsi="Arial"/>
          <w:noProof/>
        </w:rPr>
        <w:t>11</w:t>
      </w:r>
      <w:r w:rsidR="00F351AD" w:rsidRPr="00BB2850">
        <w:rPr>
          <w:rFonts w:ascii="Arial" w:hAnsi="Arial"/>
          <w:noProof/>
        </w:rPr>
        <w:fldChar w:fldCharType="end"/>
      </w:r>
    </w:p>
    <w:p w:rsidR="00DF2E7D" w:rsidRDefault="00F351AD">
      <w:pPr>
        <w:rPr>
          <w:rFonts w:ascii="Arial" w:hAnsi="Arial"/>
          <w:b/>
          <w:sz w:val="20"/>
          <w:lang w:val="en-GB"/>
        </w:rPr>
      </w:pPr>
      <w:r w:rsidRPr="00BB2850">
        <w:rPr>
          <w:rFonts w:ascii="Arial" w:hAnsi="Arial"/>
          <w:b/>
          <w:lang w:val="en-GB"/>
        </w:rPr>
        <w:fldChar w:fldCharType="end"/>
      </w:r>
    </w:p>
    <w:p w:rsidR="00DE6EB3" w:rsidRDefault="00DE6EB3">
      <w:pPr>
        <w:rPr>
          <w:rFonts w:ascii="Arial" w:hAnsi="Arial"/>
          <w:b/>
          <w:sz w:val="36"/>
        </w:rPr>
      </w:pPr>
      <w:r>
        <w:rPr>
          <w:rFonts w:ascii="Arial" w:hAnsi="Arial"/>
          <w:b/>
          <w:sz w:val="36"/>
        </w:rPr>
        <w:br w:type="page"/>
      </w:r>
    </w:p>
    <w:p w:rsidR="009F3A1E" w:rsidRPr="00EF085E" w:rsidRDefault="009F3A1E" w:rsidP="009F3A1E">
      <w:pPr>
        <w:jc w:val="center"/>
        <w:rPr>
          <w:rFonts w:ascii="Arial" w:hAnsi="Arial"/>
          <w:b/>
          <w:sz w:val="36"/>
        </w:rPr>
      </w:pPr>
      <w:r w:rsidRPr="00EF085E">
        <w:rPr>
          <w:rFonts w:ascii="Arial" w:hAnsi="Arial"/>
          <w:b/>
          <w:sz w:val="36"/>
        </w:rPr>
        <w:t>Tajikistan needs to do more to end torture</w:t>
      </w:r>
    </w:p>
    <w:p w:rsidR="009F3A1E" w:rsidRPr="00EF085E" w:rsidRDefault="009F3A1E" w:rsidP="009F3A1E">
      <w:pPr>
        <w:jc w:val="center"/>
        <w:rPr>
          <w:rFonts w:ascii="Arial" w:hAnsi="Arial"/>
          <w:b/>
          <w:sz w:val="36"/>
          <w:lang w:val="en-GB"/>
        </w:rPr>
      </w:pPr>
      <w:r w:rsidRPr="00EF085E">
        <w:rPr>
          <w:rFonts w:ascii="Arial" w:hAnsi="Arial"/>
          <w:b/>
          <w:sz w:val="36"/>
        </w:rPr>
        <w:t>An overview of current concerns</w:t>
      </w:r>
    </w:p>
    <w:p w:rsidR="009F3A1E" w:rsidRDefault="009F3A1E" w:rsidP="008B7D16">
      <w:pPr>
        <w:jc w:val="both"/>
        <w:rPr>
          <w:rFonts w:ascii="Arial" w:hAnsi="Arial"/>
          <w:b/>
          <w:sz w:val="20"/>
          <w:lang w:val="en-GB"/>
        </w:rPr>
      </w:pPr>
    </w:p>
    <w:p w:rsidR="006A6B7A" w:rsidRDefault="006A6B7A" w:rsidP="008B7D16">
      <w:pPr>
        <w:jc w:val="both"/>
        <w:rPr>
          <w:rFonts w:ascii="Arial" w:hAnsi="Arial"/>
          <w:b/>
          <w:sz w:val="20"/>
          <w:lang w:val="en-GB"/>
        </w:rPr>
      </w:pPr>
    </w:p>
    <w:p w:rsidR="006A6B7A" w:rsidRDefault="006A6B7A" w:rsidP="0040506F">
      <w:pPr>
        <w:pStyle w:val="1"/>
        <w:rPr>
          <w:lang w:val="en-GB"/>
        </w:rPr>
      </w:pPr>
      <w:bookmarkStart w:id="1" w:name="_Toc285095802"/>
      <w:r>
        <w:rPr>
          <w:lang w:val="en-GB"/>
        </w:rPr>
        <w:t>INTRODUCTION</w:t>
      </w:r>
      <w:bookmarkEnd w:id="1"/>
    </w:p>
    <w:p w:rsidR="0040506F" w:rsidRDefault="0040506F" w:rsidP="008B7D16">
      <w:pPr>
        <w:jc w:val="both"/>
        <w:rPr>
          <w:rFonts w:ascii="Arial" w:hAnsi="Arial"/>
          <w:b/>
          <w:sz w:val="20"/>
          <w:lang w:val="en-GB"/>
        </w:rPr>
      </w:pPr>
    </w:p>
    <w:p w:rsidR="001132CE" w:rsidRDefault="00D2362F" w:rsidP="00D2362F">
      <w:pPr>
        <w:jc w:val="both"/>
        <w:rPr>
          <w:rFonts w:ascii="Arial" w:hAnsi="Arial"/>
          <w:b/>
          <w:sz w:val="20"/>
          <w:lang w:val="en-GB"/>
        </w:rPr>
      </w:pPr>
      <w:r>
        <w:rPr>
          <w:rFonts w:ascii="Arial" w:hAnsi="Arial"/>
          <w:b/>
          <w:sz w:val="20"/>
          <w:lang w:val="en-GB"/>
        </w:rPr>
        <w:t xml:space="preserve">In recent years </w:t>
      </w:r>
      <w:r w:rsidR="001933FC">
        <w:rPr>
          <w:rFonts w:ascii="Arial" w:hAnsi="Arial"/>
          <w:b/>
          <w:sz w:val="20"/>
          <w:lang w:val="en-GB"/>
        </w:rPr>
        <w:t>the Tajik</w:t>
      </w:r>
      <w:r w:rsidR="00CD62E2">
        <w:rPr>
          <w:rFonts w:ascii="Arial" w:hAnsi="Arial"/>
          <w:b/>
          <w:sz w:val="20"/>
          <w:lang w:val="en-GB"/>
        </w:rPr>
        <w:t>istani</w:t>
      </w:r>
      <w:r w:rsidR="001933FC">
        <w:rPr>
          <w:rFonts w:ascii="Arial" w:hAnsi="Arial"/>
          <w:b/>
          <w:sz w:val="20"/>
          <w:lang w:val="en-GB"/>
        </w:rPr>
        <w:t xml:space="preserve"> government </w:t>
      </w:r>
      <w:r>
        <w:rPr>
          <w:rFonts w:ascii="Arial" w:hAnsi="Arial"/>
          <w:b/>
          <w:sz w:val="20"/>
          <w:lang w:val="en-GB"/>
        </w:rPr>
        <w:t xml:space="preserve">has made some progress </w:t>
      </w:r>
      <w:r w:rsidR="006B3565">
        <w:rPr>
          <w:rFonts w:ascii="Arial" w:hAnsi="Arial"/>
          <w:b/>
          <w:sz w:val="20"/>
          <w:lang w:val="en-GB"/>
        </w:rPr>
        <w:t>in terms of taking steps needed</w:t>
      </w:r>
      <w:r w:rsidR="00CD62E2">
        <w:rPr>
          <w:rFonts w:ascii="Arial" w:hAnsi="Arial"/>
          <w:b/>
          <w:sz w:val="20"/>
          <w:lang w:val="en-GB"/>
        </w:rPr>
        <w:t xml:space="preserve"> to </w:t>
      </w:r>
      <w:r w:rsidR="001933FC">
        <w:rPr>
          <w:rFonts w:ascii="Arial" w:hAnsi="Arial"/>
          <w:b/>
          <w:sz w:val="20"/>
          <w:lang w:val="en-GB"/>
        </w:rPr>
        <w:t>prevent and eradicat</w:t>
      </w:r>
      <w:r w:rsidR="00CD62E2">
        <w:rPr>
          <w:rFonts w:ascii="Arial" w:hAnsi="Arial"/>
          <w:b/>
          <w:sz w:val="20"/>
          <w:lang w:val="en-GB"/>
        </w:rPr>
        <w:t>e</w:t>
      </w:r>
      <w:r w:rsidR="001933FC">
        <w:rPr>
          <w:rFonts w:ascii="Arial" w:hAnsi="Arial"/>
          <w:b/>
          <w:sz w:val="20"/>
          <w:lang w:val="en-GB"/>
        </w:rPr>
        <w:t xml:space="preserve"> torture</w:t>
      </w:r>
      <w:r>
        <w:rPr>
          <w:rFonts w:ascii="Arial" w:hAnsi="Arial"/>
          <w:b/>
          <w:sz w:val="20"/>
          <w:lang w:val="en-GB"/>
        </w:rPr>
        <w:t xml:space="preserve">. Continued </w:t>
      </w:r>
      <w:r w:rsidR="002B4B59">
        <w:rPr>
          <w:rFonts w:ascii="Arial" w:hAnsi="Arial"/>
          <w:b/>
          <w:sz w:val="20"/>
          <w:lang w:val="en-GB"/>
        </w:rPr>
        <w:t xml:space="preserve">international </w:t>
      </w:r>
      <w:r w:rsidR="001132CE">
        <w:rPr>
          <w:rFonts w:ascii="Arial" w:hAnsi="Arial"/>
          <w:b/>
          <w:sz w:val="20"/>
          <w:lang w:val="en-GB"/>
        </w:rPr>
        <w:t xml:space="preserve">attention </w:t>
      </w:r>
      <w:r w:rsidR="002B4B59">
        <w:rPr>
          <w:rFonts w:ascii="Arial" w:hAnsi="Arial"/>
          <w:b/>
          <w:sz w:val="20"/>
          <w:lang w:val="en-GB"/>
        </w:rPr>
        <w:t>and political will of the Tajik</w:t>
      </w:r>
      <w:r w:rsidR="00CD62E2">
        <w:rPr>
          <w:rFonts w:ascii="Arial" w:hAnsi="Arial"/>
          <w:b/>
          <w:sz w:val="20"/>
          <w:lang w:val="en-GB"/>
        </w:rPr>
        <w:t>istani</w:t>
      </w:r>
      <w:r w:rsidR="002B4B59">
        <w:rPr>
          <w:rFonts w:ascii="Arial" w:hAnsi="Arial"/>
          <w:b/>
          <w:sz w:val="20"/>
          <w:lang w:val="en-GB"/>
        </w:rPr>
        <w:t xml:space="preserve"> authorities are </w:t>
      </w:r>
      <w:r w:rsidR="001132CE">
        <w:rPr>
          <w:rFonts w:ascii="Arial" w:hAnsi="Arial"/>
          <w:b/>
          <w:sz w:val="20"/>
          <w:lang w:val="en-GB"/>
        </w:rPr>
        <w:t xml:space="preserve">needed to </w:t>
      </w:r>
      <w:r w:rsidR="00F64BB1">
        <w:rPr>
          <w:rFonts w:ascii="Arial" w:hAnsi="Arial"/>
          <w:b/>
          <w:sz w:val="20"/>
          <w:lang w:val="en-GB"/>
        </w:rPr>
        <w:t>achieve lasting results.</w:t>
      </w:r>
    </w:p>
    <w:p w:rsidR="00797D9B" w:rsidRDefault="00797D9B" w:rsidP="003F7678">
      <w:pPr>
        <w:jc w:val="both"/>
        <w:rPr>
          <w:rFonts w:ascii="Arial" w:hAnsi="Arial"/>
          <w:sz w:val="20"/>
          <w:lang w:val="en-GB"/>
        </w:rPr>
      </w:pPr>
    </w:p>
    <w:p w:rsidR="00757848" w:rsidRDefault="006B3565" w:rsidP="00D2362F">
      <w:pPr>
        <w:jc w:val="both"/>
        <w:rPr>
          <w:rFonts w:ascii="Arial" w:hAnsi="Arial"/>
          <w:sz w:val="20"/>
          <w:lang w:val="en-GB"/>
        </w:rPr>
      </w:pPr>
      <w:r>
        <w:rPr>
          <w:rFonts w:ascii="Arial" w:hAnsi="Arial"/>
          <w:sz w:val="20"/>
          <w:lang w:val="en-GB"/>
        </w:rPr>
        <w:t xml:space="preserve">Torture has been a longstanding issue in Tajikistan, which led international organizations and human rights mechanisms to focus their attention </w:t>
      </w:r>
      <w:r w:rsidR="00540877">
        <w:rPr>
          <w:rFonts w:ascii="Arial" w:hAnsi="Arial"/>
          <w:sz w:val="20"/>
          <w:lang w:val="en-GB"/>
        </w:rPr>
        <w:t>on</w:t>
      </w:r>
      <w:r>
        <w:rPr>
          <w:rFonts w:ascii="Arial" w:hAnsi="Arial"/>
          <w:sz w:val="20"/>
          <w:lang w:val="en-GB"/>
        </w:rPr>
        <w:t xml:space="preserve"> this issue. Torture continues to be widely used throughout Tajikistan, despite several recommendations that have been issued aimed at eradicating the practice.</w:t>
      </w:r>
      <w:r w:rsidR="00241F3C">
        <w:rPr>
          <w:rFonts w:ascii="Arial" w:hAnsi="Arial"/>
          <w:sz w:val="20"/>
          <w:lang w:val="en-GB"/>
        </w:rPr>
        <w:t xml:space="preserve"> </w:t>
      </w:r>
    </w:p>
    <w:p w:rsidR="00757848" w:rsidRDefault="00757848" w:rsidP="003F7678">
      <w:pPr>
        <w:jc w:val="both"/>
        <w:rPr>
          <w:rFonts w:ascii="Arial" w:hAnsi="Arial"/>
          <w:sz w:val="20"/>
          <w:lang w:val="en-GB"/>
        </w:rPr>
      </w:pPr>
    </w:p>
    <w:p w:rsidR="001547D1" w:rsidRDefault="00DF15B9" w:rsidP="003F7678">
      <w:pPr>
        <w:jc w:val="both"/>
        <w:rPr>
          <w:rFonts w:ascii="Arial" w:hAnsi="Arial"/>
          <w:sz w:val="20"/>
          <w:lang w:val="en-GB"/>
        </w:rPr>
      </w:pPr>
      <w:r>
        <w:rPr>
          <w:rFonts w:ascii="Arial" w:hAnsi="Arial"/>
          <w:sz w:val="20"/>
          <w:lang w:val="en-GB"/>
        </w:rPr>
        <w:t>I</w:t>
      </w:r>
      <w:r w:rsidR="00A12E26">
        <w:rPr>
          <w:rFonts w:ascii="Arial" w:hAnsi="Arial"/>
          <w:sz w:val="20"/>
          <w:lang w:val="en-GB"/>
        </w:rPr>
        <w:t>n May 2012, the Unite</w:t>
      </w:r>
      <w:r w:rsidR="00CA2E3D">
        <w:rPr>
          <w:rFonts w:ascii="Arial" w:hAnsi="Arial"/>
          <w:sz w:val="20"/>
          <w:lang w:val="en-GB"/>
        </w:rPr>
        <w:t>d</w:t>
      </w:r>
      <w:r w:rsidR="00A12E26">
        <w:rPr>
          <w:rFonts w:ascii="Arial" w:hAnsi="Arial"/>
          <w:sz w:val="20"/>
          <w:lang w:val="en-GB"/>
        </w:rPr>
        <w:t xml:space="preserve"> Nations</w:t>
      </w:r>
      <w:r w:rsidR="00E9208A">
        <w:rPr>
          <w:rFonts w:ascii="Arial" w:hAnsi="Arial"/>
          <w:sz w:val="20"/>
          <w:lang w:val="en-GB"/>
        </w:rPr>
        <w:t xml:space="preserve"> (UN)</w:t>
      </w:r>
      <w:r w:rsidR="00A12E26">
        <w:rPr>
          <w:rFonts w:ascii="Arial" w:hAnsi="Arial"/>
          <w:sz w:val="20"/>
          <w:lang w:val="en-GB"/>
        </w:rPr>
        <w:t xml:space="preserve"> Special </w:t>
      </w:r>
      <w:r w:rsidR="00A12E26" w:rsidRPr="00D8208C">
        <w:rPr>
          <w:rFonts w:ascii="Arial" w:hAnsi="Arial"/>
          <w:sz w:val="20"/>
          <w:lang w:val="en-GB"/>
        </w:rPr>
        <w:t>Rapporteur</w:t>
      </w:r>
      <w:r w:rsidR="00A12E26" w:rsidRPr="00D8208C">
        <w:rPr>
          <w:rFonts w:ascii="Arial" w:hAnsi="Arial"/>
          <w:sz w:val="20"/>
          <w:lang w:val="de-DE"/>
        </w:rPr>
        <w:t xml:space="preserve"> </w:t>
      </w:r>
      <w:r w:rsidR="00A12E26" w:rsidRPr="00D8208C">
        <w:rPr>
          <w:rFonts w:ascii="Arial" w:hAnsi="Arial"/>
          <w:bCs/>
          <w:sz w:val="20"/>
          <w:lang w:val="de-DE"/>
        </w:rPr>
        <w:t xml:space="preserve">on torture and other cruel, inhuman or degrading treatment </w:t>
      </w:r>
      <w:r w:rsidR="00434F32" w:rsidRPr="00D8208C">
        <w:rPr>
          <w:rFonts w:ascii="Arial" w:hAnsi="Arial"/>
          <w:bCs/>
          <w:sz w:val="20"/>
          <w:lang w:val="de-DE"/>
        </w:rPr>
        <w:t>o</w:t>
      </w:r>
      <w:r w:rsidR="00434F32">
        <w:rPr>
          <w:rFonts w:ascii="Arial" w:hAnsi="Arial"/>
          <w:bCs/>
          <w:sz w:val="20"/>
          <w:lang w:val="de-DE"/>
        </w:rPr>
        <w:t>r</w:t>
      </w:r>
      <w:r w:rsidR="00434F32" w:rsidRPr="00D8208C">
        <w:rPr>
          <w:rFonts w:ascii="Arial" w:hAnsi="Arial"/>
          <w:bCs/>
          <w:sz w:val="20"/>
          <w:lang w:val="de-DE"/>
        </w:rPr>
        <w:t xml:space="preserve"> </w:t>
      </w:r>
      <w:r w:rsidR="00A12E26" w:rsidRPr="003F7678">
        <w:rPr>
          <w:rFonts w:ascii="Arial" w:hAnsi="Arial"/>
          <w:bCs/>
          <w:sz w:val="20"/>
          <w:lang w:val="de-DE"/>
        </w:rPr>
        <w:t>punishment (Special Rapporteur on torture)</w:t>
      </w:r>
      <w:r w:rsidR="00B27715">
        <w:rPr>
          <w:rFonts w:ascii="Arial" w:hAnsi="Arial"/>
          <w:sz w:val="20"/>
          <w:lang w:val="en-GB"/>
        </w:rPr>
        <w:t xml:space="preserve"> visited Tajikistan, </w:t>
      </w:r>
      <w:r w:rsidR="00004858">
        <w:rPr>
          <w:rFonts w:ascii="Arial" w:hAnsi="Arial"/>
          <w:sz w:val="20"/>
          <w:lang w:val="en-GB"/>
        </w:rPr>
        <w:t>published his findings and recommendations in January 2013</w:t>
      </w:r>
      <w:r w:rsidR="003678C1">
        <w:rPr>
          <w:rFonts w:ascii="Arial" w:hAnsi="Arial"/>
          <w:sz w:val="20"/>
          <w:lang w:val="en-GB"/>
        </w:rPr>
        <w:t xml:space="preserve"> and conducted a follow-up visit in February 2014</w:t>
      </w:r>
      <w:r w:rsidR="00004858">
        <w:rPr>
          <w:rFonts w:ascii="Arial" w:hAnsi="Arial"/>
          <w:sz w:val="20"/>
          <w:lang w:val="en-GB"/>
        </w:rPr>
        <w:t>.</w:t>
      </w:r>
      <w:r w:rsidR="004F235E">
        <w:rPr>
          <w:rStyle w:val="a7"/>
          <w:rFonts w:ascii="Arial" w:hAnsi="Arial"/>
          <w:sz w:val="20"/>
          <w:lang w:val="en-GB"/>
        </w:rPr>
        <w:footnoteReference w:id="1"/>
      </w:r>
      <w:r w:rsidR="00004858">
        <w:rPr>
          <w:rFonts w:ascii="Arial" w:hAnsi="Arial"/>
          <w:sz w:val="20"/>
          <w:lang w:val="en-GB"/>
        </w:rPr>
        <w:t xml:space="preserve"> </w:t>
      </w:r>
      <w:r w:rsidR="0084075B">
        <w:rPr>
          <w:rFonts w:ascii="Arial" w:hAnsi="Arial"/>
          <w:sz w:val="20"/>
          <w:lang w:val="en-GB"/>
        </w:rPr>
        <w:t>I</w:t>
      </w:r>
      <w:r w:rsidR="00252FFE">
        <w:rPr>
          <w:rFonts w:ascii="Arial" w:hAnsi="Arial"/>
          <w:sz w:val="20"/>
          <w:lang w:val="en-GB"/>
        </w:rPr>
        <w:t xml:space="preserve">n November 2012, the </w:t>
      </w:r>
      <w:r w:rsidR="00F83CF5">
        <w:rPr>
          <w:rFonts w:ascii="Arial" w:hAnsi="Arial"/>
          <w:sz w:val="20"/>
          <w:lang w:val="en-GB"/>
        </w:rPr>
        <w:t>UN</w:t>
      </w:r>
      <w:r w:rsidR="00252FFE">
        <w:rPr>
          <w:rFonts w:ascii="Arial" w:hAnsi="Arial"/>
          <w:sz w:val="20"/>
          <w:lang w:val="en-GB"/>
        </w:rPr>
        <w:t xml:space="preserve"> </w:t>
      </w:r>
      <w:r w:rsidR="00252FFE" w:rsidRPr="00D8208C">
        <w:rPr>
          <w:rFonts w:ascii="Arial" w:hAnsi="Arial"/>
          <w:sz w:val="20"/>
          <w:lang w:val="en-GB"/>
        </w:rPr>
        <w:t>Committee against Torture</w:t>
      </w:r>
      <w:r w:rsidR="00252FFE">
        <w:rPr>
          <w:rFonts w:ascii="Arial" w:hAnsi="Arial"/>
          <w:sz w:val="20"/>
          <w:lang w:val="en-GB"/>
        </w:rPr>
        <w:t xml:space="preserve"> reviewed Tajikistan’s second periodic report on the implementation of </w:t>
      </w:r>
      <w:r w:rsidR="00252FFE" w:rsidRPr="00B90A13">
        <w:rPr>
          <w:rFonts w:ascii="Arial" w:hAnsi="Arial"/>
          <w:sz w:val="20"/>
          <w:lang w:val="en-GB"/>
        </w:rPr>
        <w:t xml:space="preserve">the </w:t>
      </w:r>
      <w:r w:rsidR="00252FFE" w:rsidRPr="00B90A13">
        <w:rPr>
          <w:rFonts w:ascii="Arial" w:hAnsi="Arial"/>
          <w:bCs/>
          <w:sz w:val="20"/>
          <w:lang w:val="de-DE"/>
        </w:rPr>
        <w:t>Convention against Torture and Other Cruel, Inhuman or Degrading Treatment or Punishment</w:t>
      </w:r>
      <w:r w:rsidR="007069CD">
        <w:rPr>
          <w:rFonts w:ascii="Arial" w:hAnsi="Arial"/>
          <w:bCs/>
          <w:sz w:val="20"/>
          <w:lang w:val="de-DE"/>
        </w:rPr>
        <w:t xml:space="preserve"> (Convention against Torture)</w:t>
      </w:r>
      <w:r w:rsidR="00252FFE" w:rsidRPr="00B90A13">
        <w:rPr>
          <w:rFonts w:ascii="Arial" w:hAnsi="Arial"/>
          <w:bCs/>
          <w:sz w:val="20"/>
          <w:lang w:val="de-DE"/>
        </w:rPr>
        <w:t xml:space="preserve"> </w:t>
      </w:r>
      <w:r w:rsidR="00252FFE" w:rsidRPr="00B90A13">
        <w:rPr>
          <w:rFonts w:ascii="Arial" w:hAnsi="Arial"/>
          <w:sz w:val="20"/>
          <w:lang w:val="en-GB"/>
        </w:rPr>
        <w:t>and</w:t>
      </w:r>
      <w:r w:rsidR="00252FFE">
        <w:rPr>
          <w:rFonts w:ascii="Arial" w:hAnsi="Arial"/>
          <w:sz w:val="20"/>
          <w:lang w:val="en-GB"/>
        </w:rPr>
        <w:t xml:space="preserve"> published its concluding observations in January 2013.</w:t>
      </w:r>
      <w:r w:rsidR="004F235E">
        <w:rPr>
          <w:rStyle w:val="a7"/>
          <w:rFonts w:ascii="Arial" w:hAnsi="Arial"/>
          <w:sz w:val="20"/>
          <w:lang w:val="en-GB"/>
        </w:rPr>
        <w:footnoteReference w:id="2"/>
      </w:r>
      <w:r w:rsidR="00252FFE">
        <w:rPr>
          <w:rFonts w:ascii="Arial" w:hAnsi="Arial"/>
          <w:sz w:val="20"/>
          <w:lang w:val="en-GB"/>
        </w:rPr>
        <w:t xml:space="preserve"> In July 2013, the </w:t>
      </w:r>
      <w:r w:rsidR="003F6C9D">
        <w:rPr>
          <w:rFonts w:ascii="Arial" w:hAnsi="Arial"/>
          <w:sz w:val="20"/>
          <w:lang w:val="en-GB"/>
        </w:rPr>
        <w:t>UN</w:t>
      </w:r>
      <w:r w:rsidR="00252FFE">
        <w:rPr>
          <w:rFonts w:ascii="Arial" w:hAnsi="Arial"/>
          <w:sz w:val="20"/>
          <w:lang w:val="en-GB"/>
        </w:rPr>
        <w:t xml:space="preserve"> Human Rights Committee considered Tajikistan’s second periodic report on the implementation of obligations as a party to the International Covenant on Civil and Political Rights</w:t>
      </w:r>
      <w:r w:rsidR="007069CD">
        <w:rPr>
          <w:rFonts w:ascii="Arial" w:hAnsi="Arial"/>
          <w:sz w:val="20"/>
          <w:lang w:val="en-GB"/>
        </w:rPr>
        <w:t xml:space="preserve"> (ICCPR)</w:t>
      </w:r>
      <w:r w:rsidR="00252FFE">
        <w:rPr>
          <w:rFonts w:ascii="Arial" w:hAnsi="Arial"/>
          <w:sz w:val="20"/>
          <w:lang w:val="en-GB"/>
        </w:rPr>
        <w:t xml:space="preserve"> and</w:t>
      </w:r>
      <w:r w:rsidR="003F6C9D">
        <w:rPr>
          <w:rFonts w:ascii="Arial" w:hAnsi="Arial"/>
          <w:sz w:val="20"/>
          <w:lang w:val="en-GB"/>
        </w:rPr>
        <w:t>,</w:t>
      </w:r>
      <w:r w:rsidR="00252FFE">
        <w:rPr>
          <w:rFonts w:ascii="Arial" w:hAnsi="Arial"/>
          <w:sz w:val="20"/>
          <w:lang w:val="en-GB"/>
        </w:rPr>
        <w:t xml:space="preserve"> in August 2013, </w:t>
      </w:r>
      <w:r w:rsidR="003F6C9D">
        <w:rPr>
          <w:rFonts w:ascii="Arial" w:hAnsi="Arial"/>
          <w:sz w:val="20"/>
          <w:lang w:val="en-GB"/>
        </w:rPr>
        <w:t xml:space="preserve">it </w:t>
      </w:r>
      <w:r w:rsidR="00252FFE">
        <w:rPr>
          <w:rFonts w:ascii="Arial" w:hAnsi="Arial"/>
          <w:sz w:val="20"/>
          <w:lang w:val="en-GB"/>
        </w:rPr>
        <w:t>issued concluding observations, several of which addressed ongoing torture.</w:t>
      </w:r>
      <w:r w:rsidR="00D66002">
        <w:rPr>
          <w:rStyle w:val="a7"/>
          <w:rFonts w:ascii="Arial" w:hAnsi="Arial"/>
          <w:sz w:val="20"/>
          <w:lang w:val="en-GB"/>
        </w:rPr>
        <w:footnoteReference w:id="3"/>
      </w:r>
      <w:r w:rsidR="00A01586">
        <w:rPr>
          <w:rFonts w:ascii="Arial" w:hAnsi="Arial"/>
          <w:sz w:val="20"/>
          <w:lang w:val="en-GB"/>
        </w:rPr>
        <w:t xml:space="preserve"> </w:t>
      </w:r>
      <w:r w:rsidR="00252FFE">
        <w:rPr>
          <w:rFonts w:ascii="Arial" w:hAnsi="Arial"/>
          <w:sz w:val="20"/>
          <w:lang w:val="en-GB"/>
        </w:rPr>
        <w:t>In recent years o</w:t>
      </w:r>
      <w:r w:rsidR="000F1674">
        <w:rPr>
          <w:rFonts w:ascii="Arial" w:hAnsi="Arial"/>
          <w:sz w:val="20"/>
          <w:lang w:val="en-GB"/>
        </w:rPr>
        <w:t xml:space="preserve">ther organizations such as the European Union also </w:t>
      </w:r>
      <w:r w:rsidR="00F14FCA">
        <w:rPr>
          <w:rFonts w:ascii="Arial" w:hAnsi="Arial"/>
          <w:sz w:val="20"/>
          <w:lang w:val="en-GB"/>
        </w:rPr>
        <w:t>prioritized the issue of torture in their interactions</w:t>
      </w:r>
      <w:r w:rsidR="00AD13D5">
        <w:rPr>
          <w:rFonts w:ascii="Arial" w:hAnsi="Arial"/>
          <w:sz w:val="20"/>
          <w:lang w:val="en-GB"/>
        </w:rPr>
        <w:t xml:space="preserve"> on human rights issues</w:t>
      </w:r>
      <w:r w:rsidR="00F14FCA">
        <w:rPr>
          <w:rFonts w:ascii="Arial" w:hAnsi="Arial"/>
          <w:sz w:val="20"/>
          <w:lang w:val="en-GB"/>
        </w:rPr>
        <w:t xml:space="preserve"> with the Tajikistani</w:t>
      </w:r>
      <w:r w:rsidR="004929B1">
        <w:rPr>
          <w:rFonts w:ascii="Arial" w:hAnsi="Arial"/>
          <w:sz w:val="20"/>
          <w:lang w:val="en-GB"/>
        </w:rPr>
        <w:t xml:space="preserve"> authorities.</w:t>
      </w:r>
      <w:r w:rsidR="007A4D46">
        <w:rPr>
          <w:rFonts w:ascii="Arial" w:hAnsi="Arial"/>
          <w:sz w:val="20"/>
          <w:lang w:val="en-GB"/>
        </w:rPr>
        <w:t xml:space="preserve"> </w:t>
      </w:r>
    </w:p>
    <w:p w:rsidR="003A2681" w:rsidRDefault="003A2681" w:rsidP="003F7678">
      <w:pPr>
        <w:jc w:val="both"/>
        <w:rPr>
          <w:rFonts w:ascii="Arial" w:hAnsi="Arial"/>
          <w:sz w:val="20"/>
          <w:lang w:val="en-GB"/>
        </w:rPr>
      </w:pPr>
    </w:p>
    <w:p w:rsidR="00434F32" w:rsidRDefault="00434F32" w:rsidP="00317D78">
      <w:pPr>
        <w:jc w:val="both"/>
        <w:rPr>
          <w:rFonts w:ascii="Arial" w:hAnsi="Arial"/>
          <w:sz w:val="20"/>
          <w:lang w:val="en-GB"/>
        </w:rPr>
      </w:pPr>
      <w:r>
        <w:rPr>
          <w:rFonts w:ascii="Arial" w:hAnsi="Arial"/>
          <w:sz w:val="20"/>
          <w:lang w:val="en-GB"/>
        </w:rPr>
        <w:t>In July 2012, Amnesty International issued a report entitled “Shattered lives. Torture and other ill-treatment in Tajikistan”</w:t>
      </w:r>
      <w:r w:rsidRPr="00790B01">
        <w:rPr>
          <w:rStyle w:val="a7"/>
          <w:rFonts w:ascii="Arial" w:hAnsi="Arial"/>
          <w:sz w:val="20"/>
          <w:lang w:val="en-GB"/>
        </w:rPr>
        <w:footnoteReference w:id="4"/>
      </w:r>
      <w:r>
        <w:rPr>
          <w:rFonts w:ascii="Arial" w:hAnsi="Arial"/>
          <w:sz w:val="20"/>
          <w:lang w:val="en-GB"/>
        </w:rPr>
        <w:t>, based on a fact-finding visit to different parts of Tajikistan,</w:t>
      </w:r>
      <w:r w:rsidRPr="00790B01">
        <w:rPr>
          <w:rFonts w:ascii="Arial" w:hAnsi="Arial"/>
          <w:sz w:val="20"/>
          <w:lang w:val="en-GB"/>
        </w:rPr>
        <w:t xml:space="preserve"> which found </w:t>
      </w:r>
      <w:r>
        <w:rPr>
          <w:rFonts w:ascii="Arial" w:hAnsi="Arial"/>
          <w:sz w:val="20"/>
          <w:lang w:val="en-GB"/>
        </w:rPr>
        <w:t>that torture and other forms of ill-treatment were widespread in the country and that those detained on charges relating to national security and religious extremism were at particular risk.</w:t>
      </w:r>
      <w:r w:rsidRPr="00790B01">
        <w:rPr>
          <w:rFonts w:ascii="Arial" w:hAnsi="Arial"/>
          <w:sz w:val="20"/>
          <w:lang w:val="en-GB"/>
        </w:rPr>
        <w:t xml:space="preserve"> </w:t>
      </w:r>
    </w:p>
    <w:p w:rsidR="00434F32" w:rsidRDefault="00434F32" w:rsidP="00317D78">
      <w:pPr>
        <w:jc w:val="both"/>
        <w:rPr>
          <w:rFonts w:ascii="Arial" w:hAnsi="Arial"/>
          <w:sz w:val="20"/>
          <w:lang w:val="en-GB"/>
        </w:rPr>
      </w:pPr>
    </w:p>
    <w:p w:rsidR="00317D78" w:rsidRPr="00790B01" w:rsidRDefault="00317D78" w:rsidP="00434F32">
      <w:pPr>
        <w:jc w:val="both"/>
        <w:rPr>
          <w:rFonts w:ascii="Arial" w:hAnsi="Arial"/>
          <w:sz w:val="20"/>
          <w:lang w:val="en-GB"/>
        </w:rPr>
      </w:pPr>
      <w:r w:rsidRPr="00790B01">
        <w:rPr>
          <w:rFonts w:ascii="Arial" w:hAnsi="Arial"/>
          <w:sz w:val="20"/>
          <w:lang w:val="en-GB"/>
        </w:rPr>
        <w:t xml:space="preserve">The NGO Coalition against Torture in Tajikistan </w:t>
      </w:r>
      <w:r w:rsidR="00434F32">
        <w:rPr>
          <w:rFonts w:ascii="Arial" w:hAnsi="Arial"/>
          <w:sz w:val="20"/>
          <w:lang w:val="en-GB"/>
        </w:rPr>
        <w:t xml:space="preserve">has closely monitored and analyzed domestic legislation pertaining to the issue of torture for many years and has documented numerous cases involving allegations of torture or other ill-treatment from across Tajikistan. It has </w:t>
      </w:r>
      <w:r w:rsidRPr="00AF70AE">
        <w:rPr>
          <w:rFonts w:ascii="Arial" w:hAnsi="Arial"/>
          <w:sz w:val="20"/>
          <w:lang w:val="en-GB"/>
        </w:rPr>
        <w:t>provided the above-mentioned</w:t>
      </w:r>
      <w:r w:rsidRPr="007311AD">
        <w:rPr>
          <w:rFonts w:ascii="Arial" w:hAnsi="Arial"/>
          <w:sz w:val="20"/>
          <w:lang w:val="en-GB"/>
        </w:rPr>
        <w:t xml:space="preserve"> m</w:t>
      </w:r>
      <w:r w:rsidRPr="00C3438F">
        <w:rPr>
          <w:rFonts w:ascii="Arial" w:hAnsi="Arial"/>
          <w:sz w:val="20"/>
          <w:lang w:val="en-GB"/>
        </w:rPr>
        <w:t>echanisms and organizations</w:t>
      </w:r>
      <w:r>
        <w:rPr>
          <w:rFonts w:ascii="Arial" w:hAnsi="Arial"/>
          <w:sz w:val="20"/>
          <w:lang w:val="en-GB"/>
        </w:rPr>
        <w:t xml:space="preserve"> </w:t>
      </w:r>
      <w:r w:rsidR="00434F32">
        <w:rPr>
          <w:rFonts w:ascii="Arial" w:hAnsi="Arial"/>
          <w:sz w:val="20"/>
          <w:lang w:val="en-GB"/>
        </w:rPr>
        <w:t xml:space="preserve">with </w:t>
      </w:r>
      <w:r>
        <w:rPr>
          <w:rFonts w:ascii="Arial" w:hAnsi="Arial"/>
          <w:sz w:val="20"/>
          <w:lang w:val="en-GB"/>
        </w:rPr>
        <w:t>up-to-date</w:t>
      </w:r>
      <w:r w:rsidR="00EC7E50">
        <w:rPr>
          <w:rFonts w:ascii="Arial" w:hAnsi="Arial"/>
          <w:sz w:val="20"/>
          <w:lang w:val="en-GB"/>
        </w:rPr>
        <w:t xml:space="preserve"> and in-depth</w:t>
      </w:r>
      <w:r>
        <w:rPr>
          <w:rFonts w:ascii="Arial" w:hAnsi="Arial"/>
          <w:sz w:val="20"/>
          <w:lang w:val="en-GB"/>
        </w:rPr>
        <w:t xml:space="preserve"> information on legislation and practice regarding torture.</w:t>
      </w:r>
      <w:r w:rsidRPr="00790B01">
        <w:rPr>
          <w:rStyle w:val="a7"/>
          <w:rFonts w:ascii="Arial" w:hAnsi="Arial"/>
          <w:sz w:val="20"/>
          <w:lang w:val="en-GB"/>
        </w:rPr>
        <w:footnoteReference w:id="5"/>
      </w:r>
    </w:p>
    <w:p w:rsidR="0084075B" w:rsidRDefault="0084075B" w:rsidP="003F7678">
      <w:pPr>
        <w:jc w:val="both"/>
        <w:rPr>
          <w:rFonts w:ascii="Arial" w:hAnsi="Arial"/>
          <w:sz w:val="20"/>
          <w:lang w:val="en-GB"/>
        </w:rPr>
      </w:pPr>
    </w:p>
    <w:p w:rsidR="00605C85" w:rsidRPr="00605C85" w:rsidRDefault="004A7776" w:rsidP="00FC4833">
      <w:pPr>
        <w:jc w:val="both"/>
        <w:rPr>
          <w:rFonts w:ascii="Arial" w:hAnsi="Arial"/>
          <w:sz w:val="20"/>
          <w:lang w:val="en-GB"/>
        </w:rPr>
      </w:pPr>
      <w:r>
        <w:rPr>
          <w:rFonts w:ascii="Arial" w:hAnsi="Arial"/>
          <w:sz w:val="20"/>
          <w:lang w:val="en-GB"/>
        </w:rPr>
        <w:t>In order to address</w:t>
      </w:r>
      <w:r>
        <w:rPr>
          <w:rFonts w:ascii="Arial" w:eastAsia="Cambria" w:hAnsi="Arial" w:cs="Times New Roman"/>
          <w:sz w:val="20"/>
          <w:lang w:val="en-GB"/>
        </w:rPr>
        <w:t xml:space="preserve"> the recommendations issued by </w:t>
      </w:r>
      <w:r w:rsidRPr="00431F5B">
        <w:rPr>
          <w:rFonts w:ascii="Arial" w:eastAsia="Cambria" w:hAnsi="Arial" w:cs="Times New Roman"/>
          <w:sz w:val="20"/>
          <w:lang w:val="en-GB"/>
        </w:rPr>
        <w:t xml:space="preserve">the UN Committee against Torture </w:t>
      </w:r>
      <w:r>
        <w:rPr>
          <w:rFonts w:ascii="Arial" w:eastAsia="Cambria" w:hAnsi="Arial" w:cs="Times New Roman"/>
          <w:sz w:val="20"/>
          <w:lang w:val="en-GB"/>
        </w:rPr>
        <w:t>and the</w:t>
      </w:r>
      <w:r>
        <w:rPr>
          <w:rFonts w:ascii="Arial" w:hAnsi="Arial"/>
          <w:sz w:val="20"/>
          <w:lang w:val="en-GB"/>
        </w:rPr>
        <w:t xml:space="preserve"> Special Rapporteur on torture</w:t>
      </w:r>
      <w:r w:rsidR="00317D78">
        <w:rPr>
          <w:rFonts w:ascii="Arial" w:hAnsi="Arial"/>
          <w:sz w:val="20"/>
          <w:lang w:val="en-GB"/>
        </w:rPr>
        <w:t>, the government approved an Action Plan on torture in August 2013</w:t>
      </w:r>
      <w:r w:rsidR="00605C85">
        <w:rPr>
          <w:rFonts w:ascii="Arial" w:hAnsi="Arial"/>
          <w:sz w:val="20"/>
          <w:lang w:val="en-GB"/>
        </w:rPr>
        <w:t>. Regrettably,</w:t>
      </w:r>
      <w:r w:rsidR="00605C85" w:rsidRPr="00431F5B">
        <w:rPr>
          <w:rFonts w:ascii="Arial" w:eastAsia="Cambria" w:hAnsi="Arial" w:cs="Times New Roman"/>
          <w:sz w:val="20"/>
          <w:lang w:val="en-GB"/>
        </w:rPr>
        <w:t xml:space="preserve"> </w:t>
      </w:r>
      <w:r w:rsidR="00F83CF5">
        <w:rPr>
          <w:rFonts w:ascii="Arial" w:eastAsia="Cambria" w:hAnsi="Arial" w:cs="Times New Roman"/>
          <w:sz w:val="20"/>
          <w:lang w:val="en-GB"/>
        </w:rPr>
        <w:t>local</w:t>
      </w:r>
      <w:r w:rsidR="00605C85" w:rsidRPr="00431F5B">
        <w:rPr>
          <w:rFonts w:ascii="Arial" w:eastAsia="Cambria" w:hAnsi="Arial" w:cs="Times New Roman"/>
          <w:sz w:val="20"/>
          <w:lang w:val="en-GB"/>
        </w:rPr>
        <w:t xml:space="preserve"> </w:t>
      </w:r>
      <w:r w:rsidR="0064140F">
        <w:rPr>
          <w:rFonts w:ascii="Arial" w:eastAsia="Cambria" w:hAnsi="Arial" w:cs="Times New Roman"/>
          <w:sz w:val="20"/>
          <w:lang w:val="en-GB"/>
        </w:rPr>
        <w:t>human rights</w:t>
      </w:r>
      <w:r w:rsidR="00605C85" w:rsidRPr="00431F5B">
        <w:rPr>
          <w:rFonts w:ascii="Arial" w:eastAsia="Cambria" w:hAnsi="Arial" w:cs="Times New Roman"/>
          <w:sz w:val="20"/>
          <w:lang w:val="en-GB"/>
        </w:rPr>
        <w:t xml:space="preserve"> organisations </w:t>
      </w:r>
      <w:r w:rsidR="00605C85">
        <w:rPr>
          <w:rFonts w:ascii="Arial" w:hAnsi="Arial"/>
          <w:sz w:val="20"/>
          <w:lang w:val="en-GB"/>
        </w:rPr>
        <w:t>were</w:t>
      </w:r>
      <w:r w:rsidR="00605C85" w:rsidRPr="00431F5B">
        <w:rPr>
          <w:rFonts w:ascii="Arial" w:eastAsia="Cambria" w:hAnsi="Arial" w:cs="Times New Roman"/>
          <w:sz w:val="20"/>
          <w:lang w:val="en-GB"/>
        </w:rPr>
        <w:t xml:space="preserve"> not involved in drawing up the Action Plan and the comments and recommendations the </w:t>
      </w:r>
      <w:r w:rsidR="00A1783E">
        <w:rPr>
          <w:rFonts w:ascii="Arial" w:eastAsia="Cambria" w:hAnsi="Arial" w:cs="Times New Roman"/>
          <w:sz w:val="20"/>
          <w:lang w:val="en-GB"/>
        </w:rPr>
        <w:t xml:space="preserve">NGO </w:t>
      </w:r>
      <w:r w:rsidR="00605C85" w:rsidRPr="00431F5B">
        <w:rPr>
          <w:rFonts w:ascii="Arial" w:eastAsia="Cambria" w:hAnsi="Arial" w:cs="Times New Roman"/>
          <w:sz w:val="20"/>
          <w:lang w:val="en-GB"/>
        </w:rPr>
        <w:t>Coalition against Torture</w:t>
      </w:r>
      <w:r w:rsidR="00A1783E">
        <w:rPr>
          <w:rFonts w:ascii="Arial" w:eastAsia="Cambria" w:hAnsi="Arial" w:cs="Times New Roman"/>
          <w:sz w:val="20"/>
          <w:lang w:val="en-GB"/>
        </w:rPr>
        <w:t xml:space="preserve"> in Tajikistan</w:t>
      </w:r>
      <w:r w:rsidR="00605C85" w:rsidRPr="00431F5B">
        <w:rPr>
          <w:rFonts w:ascii="Arial" w:eastAsia="Cambria" w:hAnsi="Arial" w:cs="Times New Roman"/>
          <w:sz w:val="20"/>
          <w:lang w:val="en-GB"/>
        </w:rPr>
        <w:t xml:space="preserve"> sent to the authorities were</w:t>
      </w:r>
      <w:r w:rsidR="005E43C5">
        <w:rPr>
          <w:rFonts w:ascii="Arial" w:eastAsia="Cambria" w:hAnsi="Arial" w:cs="Times New Roman"/>
          <w:sz w:val="20"/>
          <w:lang w:val="en-GB"/>
        </w:rPr>
        <w:t xml:space="preserve"> not</w:t>
      </w:r>
      <w:r w:rsidR="00605C85" w:rsidRPr="00431F5B">
        <w:rPr>
          <w:rFonts w:ascii="Arial" w:eastAsia="Cambria" w:hAnsi="Arial" w:cs="Times New Roman"/>
          <w:sz w:val="20"/>
          <w:lang w:val="en-GB"/>
        </w:rPr>
        <w:t xml:space="preserve"> reflected in the final document. </w:t>
      </w:r>
    </w:p>
    <w:p w:rsidR="00605C85" w:rsidRDefault="00605C85" w:rsidP="00605C85">
      <w:pPr>
        <w:jc w:val="both"/>
        <w:rPr>
          <w:rFonts w:ascii="Arial" w:eastAsia="Cambria" w:hAnsi="Arial" w:cs="Times New Roman"/>
          <w:sz w:val="20"/>
          <w:lang w:val="en-GB"/>
        </w:rPr>
      </w:pPr>
    </w:p>
    <w:p w:rsidR="00605C85" w:rsidRDefault="00605C85" w:rsidP="00605C85">
      <w:pPr>
        <w:jc w:val="both"/>
        <w:rPr>
          <w:rFonts w:ascii="Arial" w:hAnsi="Arial"/>
          <w:sz w:val="20"/>
          <w:lang w:val="en-GB"/>
        </w:rPr>
      </w:pPr>
      <w:r w:rsidRPr="00431F5B">
        <w:rPr>
          <w:rFonts w:ascii="Arial" w:eastAsia="Cambria" w:hAnsi="Arial" w:cs="Times New Roman"/>
          <w:sz w:val="20"/>
          <w:lang w:val="en-GB"/>
        </w:rPr>
        <w:t xml:space="preserve">The Action Plan foresees a series of </w:t>
      </w:r>
      <w:r w:rsidR="00425638">
        <w:rPr>
          <w:rFonts w:ascii="Arial" w:eastAsia="Cambria" w:hAnsi="Arial" w:cs="Times New Roman"/>
          <w:sz w:val="20"/>
          <w:lang w:val="en-GB"/>
        </w:rPr>
        <w:t>step</w:t>
      </w:r>
      <w:r w:rsidRPr="00431F5B">
        <w:rPr>
          <w:rFonts w:ascii="Arial" w:eastAsia="Cambria" w:hAnsi="Arial" w:cs="Times New Roman"/>
          <w:sz w:val="20"/>
          <w:lang w:val="en-GB"/>
        </w:rPr>
        <w:t xml:space="preserve">s intended to </w:t>
      </w:r>
      <w:r w:rsidR="0064140F">
        <w:rPr>
          <w:rFonts w:ascii="Arial" w:eastAsia="Cambria" w:hAnsi="Arial" w:cs="Times New Roman"/>
          <w:sz w:val="20"/>
          <w:lang w:val="en-GB"/>
        </w:rPr>
        <w:t>address the</w:t>
      </w:r>
      <w:r w:rsidRPr="00431F5B">
        <w:rPr>
          <w:rFonts w:ascii="Arial" w:eastAsia="Cambria" w:hAnsi="Arial" w:cs="Times New Roman"/>
          <w:sz w:val="20"/>
          <w:lang w:val="en-GB"/>
        </w:rPr>
        <w:t xml:space="preserve"> recommendations </w:t>
      </w:r>
      <w:r>
        <w:rPr>
          <w:rFonts w:ascii="Arial" w:eastAsia="Cambria" w:hAnsi="Arial" w:cs="Times New Roman"/>
          <w:sz w:val="20"/>
          <w:lang w:val="en-GB"/>
        </w:rPr>
        <w:t xml:space="preserve">by the UN mechanisms </w:t>
      </w:r>
      <w:r w:rsidRPr="00431F5B">
        <w:rPr>
          <w:rFonts w:ascii="Arial" w:eastAsia="Cambria" w:hAnsi="Arial" w:cs="Times New Roman"/>
          <w:sz w:val="20"/>
          <w:lang w:val="en-GB"/>
        </w:rPr>
        <w:t>and provides details of timelines and the authorities responsible for</w:t>
      </w:r>
      <w:r w:rsidR="008A6D0F">
        <w:rPr>
          <w:rFonts w:ascii="Arial" w:eastAsia="Cambria" w:hAnsi="Arial" w:cs="Times New Roman"/>
          <w:sz w:val="20"/>
          <w:lang w:val="en-GB"/>
        </w:rPr>
        <w:t xml:space="preserve"> </w:t>
      </w:r>
      <w:r w:rsidR="00317D78">
        <w:rPr>
          <w:rFonts w:ascii="Arial" w:eastAsia="Cambria" w:hAnsi="Arial" w:cs="Times New Roman"/>
          <w:sz w:val="20"/>
          <w:lang w:val="en-GB"/>
        </w:rPr>
        <w:t>its</w:t>
      </w:r>
      <w:r w:rsidRPr="00431F5B">
        <w:rPr>
          <w:rFonts w:ascii="Arial" w:eastAsia="Cambria" w:hAnsi="Arial" w:cs="Times New Roman"/>
          <w:sz w:val="20"/>
          <w:lang w:val="en-GB"/>
        </w:rPr>
        <w:t xml:space="preserve"> implementation. </w:t>
      </w:r>
      <w:r>
        <w:rPr>
          <w:rFonts w:ascii="Arial" w:hAnsi="Arial"/>
          <w:sz w:val="20"/>
          <w:lang w:val="en-GB"/>
        </w:rPr>
        <w:t>H</w:t>
      </w:r>
      <w:r w:rsidRPr="00431F5B">
        <w:rPr>
          <w:rFonts w:ascii="Arial" w:eastAsia="Cambria" w:hAnsi="Arial" w:cs="Times New Roman"/>
          <w:sz w:val="20"/>
          <w:lang w:val="en-GB"/>
        </w:rPr>
        <w:t>owever</w:t>
      </w:r>
      <w:r>
        <w:rPr>
          <w:rFonts w:ascii="Arial" w:hAnsi="Arial"/>
          <w:sz w:val="20"/>
          <w:lang w:val="en-GB"/>
        </w:rPr>
        <w:t>, it does not</w:t>
      </w:r>
      <w:r w:rsidRPr="00431F5B">
        <w:rPr>
          <w:rFonts w:ascii="Arial" w:eastAsia="Cambria" w:hAnsi="Arial" w:cs="Times New Roman"/>
          <w:sz w:val="20"/>
          <w:lang w:val="en-GB"/>
        </w:rPr>
        <w:t xml:space="preserve"> provide clear indicators</w:t>
      </w:r>
      <w:r w:rsidR="009B54AD">
        <w:rPr>
          <w:rFonts w:ascii="Arial" w:eastAsia="Cambria" w:hAnsi="Arial" w:cs="Times New Roman"/>
          <w:sz w:val="20"/>
          <w:lang w:val="en-GB"/>
        </w:rPr>
        <w:t>,</w:t>
      </w:r>
      <w:r w:rsidRPr="00431F5B">
        <w:rPr>
          <w:rFonts w:ascii="Arial" w:eastAsia="Cambria" w:hAnsi="Arial" w:cs="Times New Roman"/>
          <w:sz w:val="20"/>
          <w:lang w:val="en-GB"/>
        </w:rPr>
        <w:t xml:space="preserve"> which would allow for implementation to be measured or assessed. There is therefore a risk that although </w:t>
      </w:r>
      <w:r>
        <w:rPr>
          <w:rFonts w:ascii="Arial" w:eastAsia="Cambria" w:hAnsi="Arial" w:cs="Times New Roman"/>
          <w:sz w:val="20"/>
          <w:lang w:val="en-GB"/>
        </w:rPr>
        <w:t>crucial</w:t>
      </w:r>
      <w:r w:rsidRPr="00431F5B">
        <w:rPr>
          <w:rFonts w:ascii="Arial" w:eastAsia="Cambria" w:hAnsi="Arial" w:cs="Times New Roman"/>
          <w:sz w:val="20"/>
          <w:lang w:val="en-GB"/>
        </w:rPr>
        <w:t xml:space="preserve"> issues </w:t>
      </w:r>
      <w:r w:rsidR="0064140F">
        <w:rPr>
          <w:rFonts w:ascii="Arial" w:eastAsia="Cambria" w:hAnsi="Arial" w:cs="Times New Roman"/>
          <w:sz w:val="20"/>
          <w:lang w:val="en-GB"/>
        </w:rPr>
        <w:t>are being</w:t>
      </w:r>
      <w:r w:rsidRPr="00431F5B">
        <w:rPr>
          <w:rFonts w:ascii="Arial" w:eastAsia="Cambria" w:hAnsi="Arial" w:cs="Times New Roman"/>
          <w:sz w:val="20"/>
          <w:lang w:val="en-GB"/>
        </w:rPr>
        <w:t xml:space="preserve"> </w:t>
      </w:r>
      <w:r w:rsidR="0064140F">
        <w:rPr>
          <w:rFonts w:ascii="Arial" w:eastAsia="Cambria" w:hAnsi="Arial" w:cs="Times New Roman"/>
          <w:sz w:val="20"/>
          <w:lang w:val="en-GB"/>
        </w:rPr>
        <w:t xml:space="preserve">discussed and </w:t>
      </w:r>
      <w:r>
        <w:rPr>
          <w:rFonts w:ascii="Arial" w:eastAsia="Cambria" w:hAnsi="Arial" w:cs="Times New Roman"/>
          <w:sz w:val="20"/>
          <w:lang w:val="en-GB"/>
        </w:rPr>
        <w:t xml:space="preserve">studied </w:t>
      </w:r>
      <w:r w:rsidR="00630B62">
        <w:rPr>
          <w:rFonts w:ascii="Arial" w:eastAsia="Cambria" w:hAnsi="Arial" w:cs="Times New Roman"/>
          <w:sz w:val="20"/>
          <w:lang w:val="en-GB"/>
        </w:rPr>
        <w:t xml:space="preserve">there may be no </w:t>
      </w:r>
      <w:r w:rsidR="00F47E99">
        <w:rPr>
          <w:rFonts w:ascii="Arial" w:eastAsia="Cambria" w:hAnsi="Arial" w:cs="Times New Roman"/>
          <w:sz w:val="20"/>
          <w:lang w:val="en-GB"/>
        </w:rPr>
        <w:t>practical</w:t>
      </w:r>
      <w:r w:rsidR="00CD62E2">
        <w:rPr>
          <w:rFonts w:ascii="Arial" w:eastAsia="Cambria" w:hAnsi="Arial" w:cs="Times New Roman"/>
          <w:sz w:val="20"/>
          <w:lang w:val="en-GB"/>
        </w:rPr>
        <w:t xml:space="preserve"> </w:t>
      </w:r>
      <w:r w:rsidR="00630B62">
        <w:rPr>
          <w:rFonts w:ascii="Arial" w:eastAsia="Cambria" w:hAnsi="Arial" w:cs="Times New Roman"/>
          <w:sz w:val="20"/>
          <w:lang w:val="en-GB"/>
        </w:rPr>
        <w:t>steps that fundamentally improve the situation regarding torture or other ill-treatment</w:t>
      </w:r>
      <w:r w:rsidR="00157671">
        <w:rPr>
          <w:rFonts w:ascii="Arial" w:eastAsia="Cambria" w:hAnsi="Arial" w:cs="Times New Roman"/>
          <w:sz w:val="20"/>
          <w:lang w:val="en-GB"/>
        </w:rPr>
        <w:t xml:space="preserve"> in Tajikistan</w:t>
      </w:r>
      <w:r w:rsidRPr="00431F5B">
        <w:rPr>
          <w:rFonts w:ascii="Arial" w:eastAsia="Cambria" w:hAnsi="Arial" w:cs="Times New Roman"/>
          <w:sz w:val="20"/>
          <w:lang w:val="en-GB"/>
        </w:rPr>
        <w:t xml:space="preserve">. </w:t>
      </w:r>
    </w:p>
    <w:p w:rsidR="00605C85" w:rsidRDefault="00605C85" w:rsidP="003F7678">
      <w:pPr>
        <w:jc w:val="both"/>
        <w:rPr>
          <w:rFonts w:ascii="Arial" w:hAnsi="Arial"/>
          <w:sz w:val="20"/>
          <w:lang w:val="en-GB"/>
        </w:rPr>
      </w:pPr>
    </w:p>
    <w:p w:rsidR="00757848" w:rsidRDefault="008A6D0F" w:rsidP="008B7D16">
      <w:pPr>
        <w:jc w:val="both"/>
        <w:rPr>
          <w:rFonts w:ascii="Arial" w:hAnsi="Arial"/>
          <w:sz w:val="20"/>
          <w:lang w:val="en-GB"/>
        </w:rPr>
      </w:pPr>
      <w:r>
        <w:rPr>
          <w:rFonts w:ascii="Arial" w:hAnsi="Arial"/>
          <w:sz w:val="20"/>
          <w:lang w:val="en-GB"/>
        </w:rPr>
        <w:t>I</w:t>
      </w:r>
      <w:r w:rsidR="00D3289A">
        <w:rPr>
          <w:rFonts w:ascii="Arial" w:hAnsi="Arial"/>
          <w:sz w:val="20"/>
          <w:lang w:val="en-GB"/>
        </w:rPr>
        <w:t>n recent years</w:t>
      </w:r>
      <w:r>
        <w:rPr>
          <w:rFonts w:ascii="Arial" w:hAnsi="Arial"/>
          <w:sz w:val="20"/>
          <w:lang w:val="en-GB"/>
        </w:rPr>
        <w:t>,</w:t>
      </w:r>
      <w:r w:rsidR="00D3289A">
        <w:rPr>
          <w:rFonts w:ascii="Arial" w:hAnsi="Arial"/>
          <w:sz w:val="20"/>
          <w:lang w:val="en-GB"/>
        </w:rPr>
        <w:t xml:space="preserve"> the </w:t>
      </w:r>
      <w:r w:rsidR="006C5AB3">
        <w:rPr>
          <w:rFonts w:ascii="Arial" w:hAnsi="Arial"/>
          <w:sz w:val="20"/>
          <w:lang w:val="en-GB"/>
        </w:rPr>
        <w:t xml:space="preserve">authorities </w:t>
      </w:r>
      <w:r w:rsidR="00F83CF5">
        <w:rPr>
          <w:rFonts w:ascii="Arial" w:hAnsi="Arial"/>
          <w:sz w:val="20"/>
          <w:lang w:val="en-GB"/>
        </w:rPr>
        <w:t xml:space="preserve">of Tajikistan </w:t>
      </w:r>
      <w:r>
        <w:rPr>
          <w:rFonts w:ascii="Arial" w:hAnsi="Arial"/>
          <w:sz w:val="20"/>
          <w:lang w:val="en-GB"/>
        </w:rPr>
        <w:t>have taken</w:t>
      </w:r>
      <w:r w:rsidR="006C5AB3">
        <w:rPr>
          <w:rFonts w:ascii="Arial" w:hAnsi="Arial"/>
          <w:sz w:val="20"/>
          <w:lang w:val="en-GB"/>
        </w:rPr>
        <w:t xml:space="preserve"> </w:t>
      </w:r>
      <w:r w:rsidR="00D3289A">
        <w:rPr>
          <w:rFonts w:ascii="Arial" w:hAnsi="Arial"/>
          <w:sz w:val="20"/>
          <w:lang w:val="en-GB"/>
        </w:rPr>
        <w:t xml:space="preserve">concrete measures to address </w:t>
      </w:r>
      <w:r w:rsidR="00317D78">
        <w:rPr>
          <w:rFonts w:ascii="Arial" w:hAnsi="Arial"/>
          <w:sz w:val="20"/>
          <w:lang w:val="en-GB"/>
        </w:rPr>
        <w:t xml:space="preserve">the persistence of torture and </w:t>
      </w:r>
      <w:r>
        <w:rPr>
          <w:rFonts w:ascii="Arial" w:hAnsi="Arial"/>
          <w:sz w:val="20"/>
          <w:lang w:val="en-GB"/>
        </w:rPr>
        <w:t>other</w:t>
      </w:r>
      <w:r w:rsidR="00D3289A">
        <w:rPr>
          <w:rFonts w:ascii="Arial" w:hAnsi="Arial"/>
          <w:sz w:val="20"/>
          <w:lang w:val="en-GB"/>
        </w:rPr>
        <w:t xml:space="preserve"> ill-treatment</w:t>
      </w:r>
      <w:r w:rsidR="006172A7">
        <w:rPr>
          <w:rFonts w:ascii="Arial" w:hAnsi="Arial"/>
          <w:sz w:val="20"/>
          <w:lang w:val="en-GB"/>
        </w:rPr>
        <w:t xml:space="preserve">. </w:t>
      </w:r>
      <w:r w:rsidR="00EF27EE">
        <w:rPr>
          <w:rFonts w:ascii="Arial" w:hAnsi="Arial"/>
          <w:sz w:val="20"/>
          <w:lang w:val="en-GB"/>
        </w:rPr>
        <w:t>I</w:t>
      </w:r>
      <w:r w:rsidR="00757848">
        <w:rPr>
          <w:rFonts w:ascii="Arial" w:hAnsi="Arial"/>
          <w:sz w:val="20"/>
          <w:lang w:val="en-GB"/>
        </w:rPr>
        <w:t xml:space="preserve">n March 2012, </w:t>
      </w:r>
      <w:r w:rsidR="00757848" w:rsidRPr="00F93899">
        <w:rPr>
          <w:rFonts w:ascii="Arial" w:hAnsi="Arial"/>
          <w:sz w:val="20"/>
        </w:rPr>
        <w:t>Tajikistan’s Parliament approved amendments to the</w:t>
      </w:r>
      <w:r w:rsidR="00757848">
        <w:rPr>
          <w:rFonts w:ascii="Arial" w:hAnsi="Arial"/>
          <w:sz w:val="20"/>
        </w:rPr>
        <w:t xml:space="preserve"> country’s</w:t>
      </w:r>
      <w:r w:rsidR="00757848" w:rsidRPr="00F93899">
        <w:rPr>
          <w:rFonts w:ascii="Arial" w:hAnsi="Arial"/>
          <w:sz w:val="20"/>
        </w:rPr>
        <w:t xml:space="preserve"> C</w:t>
      </w:r>
      <w:r w:rsidR="00757848">
        <w:rPr>
          <w:rFonts w:ascii="Arial" w:hAnsi="Arial"/>
          <w:sz w:val="20"/>
        </w:rPr>
        <w:t xml:space="preserve">riminal </w:t>
      </w:r>
      <w:r w:rsidR="00757848" w:rsidRPr="00F93899">
        <w:rPr>
          <w:rFonts w:ascii="Arial" w:hAnsi="Arial"/>
          <w:sz w:val="20"/>
        </w:rPr>
        <w:t>C</w:t>
      </w:r>
      <w:r w:rsidR="00757848">
        <w:rPr>
          <w:rFonts w:ascii="Arial" w:hAnsi="Arial"/>
          <w:sz w:val="20"/>
        </w:rPr>
        <w:t>ode</w:t>
      </w:r>
      <w:r w:rsidR="00757848" w:rsidRPr="00F93899">
        <w:rPr>
          <w:rFonts w:ascii="Arial" w:hAnsi="Arial"/>
          <w:sz w:val="20"/>
        </w:rPr>
        <w:t xml:space="preserve"> intr</w:t>
      </w:r>
      <w:r w:rsidR="00757848">
        <w:rPr>
          <w:rFonts w:ascii="Arial" w:hAnsi="Arial"/>
          <w:sz w:val="20"/>
        </w:rPr>
        <w:t xml:space="preserve">oducing a separate article </w:t>
      </w:r>
      <w:r w:rsidR="00757848" w:rsidRPr="00F93899">
        <w:rPr>
          <w:rFonts w:ascii="Arial" w:hAnsi="Arial"/>
          <w:sz w:val="20"/>
        </w:rPr>
        <w:t>defining torture</w:t>
      </w:r>
      <w:r w:rsidR="00757848">
        <w:rPr>
          <w:rFonts w:ascii="Arial" w:hAnsi="Arial"/>
          <w:sz w:val="20"/>
        </w:rPr>
        <w:t xml:space="preserve"> (Article 1</w:t>
      </w:r>
      <w:r w:rsidR="00884EA1">
        <w:rPr>
          <w:rFonts w:ascii="Arial" w:hAnsi="Arial"/>
          <w:sz w:val="20"/>
        </w:rPr>
        <w:t>43</w:t>
      </w:r>
      <w:r w:rsidR="00757848">
        <w:rPr>
          <w:rFonts w:ascii="Arial" w:hAnsi="Arial"/>
          <w:sz w:val="20"/>
        </w:rPr>
        <w:t xml:space="preserve">). The definition </w:t>
      </w:r>
      <w:r w:rsidR="00317D78">
        <w:rPr>
          <w:rFonts w:ascii="Arial" w:hAnsi="Arial"/>
          <w:sz w:val="20"/>
        </w:rPr>
        <w:t xml:space="preserve">of torture </w:t>
      </w:r>
      <w:r w:rsidR="00EF27EE">
        <w:rPr>
          <w:rFonts w:ascii="Arial" w:hAnsi="Arial"/>
          <w:sz w:val="20"/>
        </w:rPr>
        <w:t>contained in this</w:t>
      </w:r>
      <w:r w:rsidR="00757848">
        <w:rPr>
          <w:rFonts w:ascii="Arial" w:hAnsi="Arial"/>
          <w:sz w:val="20"/>
        </w:rPr>
        <w:t xml:space="preserve"> </w:t>
      </w:r>
      <w:r w:rsidR="00EF27EE" w:rsidRPr="00790B01">
        <w:rPr>
          <w:rFonts w:ascii="Arial" w:hAnsi="Arial"/>
          <w:sz w:val="20"/>
          <w:lang w:val="en-GB"/>
        </w:rPr>
        <w:t>article</w:t>
      </w:r>
      <w:r w:rsidR="009668A8">
        <w:rPr>
          <w:rFonts w:ascii="Arial" w:hAnsi="Arial"/>
          <w:sz w:val="20"/>
          <w:lang w:val="en-GB"/>
        </w:rPr>
        <w:t xml:space="preserve"> is</w:t>
      </w:r>
      <w:r w:rsidR="00EF27EE" w:rsidRPr="00790B01">
        <w:rPr>
          <w:rFonts w:ascii="Arial" w:hAnsi="Arial"/>
          <w:sz w:val="20"/>
          <w:lang w:val="en-GB"/>
        </w:rPr>
        <w:t xml:space="preserve"> </w:t>
      </w:r>
      <w:r w:rsidR="00EF27EE">
        <w:rPr>
          <w:rFonts w:ascii="Arial" w:hAnsi="Arial"/>
          <w:sz w:val="20"/>
          <w:lang w:val="en-GB"/>
        </w:rPr>
        <w:t>in</w:t>
      </w:r>
      <w:r w:rsidR="00757848">
        <w:rPr>
          <w:rFonts w:ascii="Arial" w:hAnsi="Arial"/>
          <w:sz w:val="20"/>
        </w:rPr>
        <w:t xml:space="preserve"> line with international human rights law</w:t>
      </w:r>
      <w:r w:rsidR="009668A8">
        <w:rPr>
          <w:rFonts w:ascii="Arial" w:hAnsi="Arial"/>
          <w:sz w:val="20"/>
        </w:rPr>
        <w:t>, as highlighted in the 2013 concluding observations of the Human Rights Committee</w:t>
      </w:r>
      <w:r w:rsidR="000C75BD">
        <w:rPr>
          <w:rFonts w:ascii="Arial" w:hAnsi="Arial"/>
          <w:sz w:val="20"/>
        </w:rPr>
        <w:t>. B</w:t>
      </w:r>
      <w:r w:rsidR="003678C1">
        <w:rPr>
          <w:rFonts w:ascii="Arial" w:hAnsi="Arial"/>
          <w:sz w:val="20"/>
        </w:rPr>
        <w:t>ut there continue</w:t>
      </w:r>
      <w:r w:rsidR="00EF27EE">
        <w:rPr>
          <w:rFonts w:ascii="Arial" w:hAnsi="Arial"/>
          <w:sz w:val="20"/>
        </w:rPr>
        <w:t>s to be concern</w:t>
      </w:r>
      <w:r w:rsidR="003678C1">
        <w:rPr>
          <w:rFonts w:ascii="Arial" w:hAnsi="Arial"/>
          <w:sz w:val="20"/>
        </w:rPr>
        <w:t xml:space="preserve"> that penalties are not commensurate with the </w:t>
      </w:r>
      <w:r w:rsidR="00317D78">
        <w:rPr>
          <w:rFonts w:ascii="Arial" w:hAnsi="Arial"/>
          <w:sz w:val="20"/>
        </w:rPr>
        <w:t>severity of the</w:t>
      </w:r>
      <w:r w:rsidR="00EF27EE">
        <w:rPr>
          <w:rFonts w:ascii="Arial" w:hAnsi="Arial"/>
          <w:sz w:val="20"/>
        </w:rPr>
        <w:t xml:space="preserve"> </w:t>
      </w:r>
      <w:r w:rsidR="003678C1">
        <w:rPr>
          <w:rFonts w:ascii="Arial" w:hAnsi="Arial"/>
          <w:sz w:val="20"/>
        </w:rPr>
        <w:t>crimes committed and that amnesty la</w:t>
      </w:r>
      <w:r w:rsidR="00B46D23">
        <w:rPr>
          <w:rFonts w:ascii="Arial" w:hAnsi="Arial"/>
          <w:sz w:val="20"/>
        </w:rPr>
        <w:t>ws can be applied to torturers</w:t>
      </w:r>
      <w:r w:rsidR="000C75BD">
        <w:rPr>
          <w:rFonts w:ascii="Arial" w:hAnsi="Arial"/>
          <w:sz w:val="20"/>
        </w:rPr>
        <w:t>, which is strictly forbidden under international law</w:t>
      </w:r>
      <w:r w:rsidR="00B46D23" w:rsidRPr="00790B01">
        <w:rPr>
          <w:rFonts w:ascii="Arial" w:hAnsi="Arial"/>
          <w:sz w:val="20"/>
          <w:lang w:val="en-GB"/>
        </w:rPr>
        <w:t xml:space="preserve">. </w:t>
      </w:r>
    </w:p>
    <w:p w:rsidR="00757848" w:rsidRPr="003678C1" w:rsidRDefault="00757848" w:rsidP="008B7D16">
      <w:pPr>
        <w:jc w:val="both"/>
        <w:rPr>
          <w:rFonts w:ascii="Arial" w:hAnsi="Arial"/>
          <w:sz w:val="20"/>
          <w:lang w:val="en-GB"/>
        </w:rPr>
      </w:pPr>
    </w:p>
    <w:p w:rsidR="001C02D7" w:rsidRDefault="00757848" w:rsidP="008B7D16">
      <w:pPr>
        <w:jc w:val="both"/>
        <w:rPr>
          <w:rFonts w:ascii="Arial" w:hAnsi="Arial"/>
          <w:sz w:val="20"/>
        </w:rPr>
      </w:pPr>
      <w:r>
        <w:rPr>
          <w:rFonts w:ascii="Arial" w:hAnsi="Arial"/>
          <w:sz w:val="20"/>
        </w:rPr>
        <w:t>B</w:t>
      </w:r>
      <w:r w:rsidR="00BF5495">
        <w:rPr>
          <w:rFonts w:ascii="Arial" w:hAnsi="Arial"/>
          <w:sz w:val="20"/>
        </w:rPr>
        <w:t>etween 2012 and 2014</w:t>
      </w:r>
      <w:r w:rsidR="00AD13D5">
        <w:rPr>
          <w:rFonts w:ascii="Arial" w:hAnsi="Arial"/>
          <w:sz w:val="20"/>
        </w:rPr>
        <w:t>,</w:t>
      </w:r>
      <w:r w:rsidR="00BF5495">
        <w:rPr>
          <w:rFonts w:ascii="Arial" w:hAnsi="Arial"/>
          <w:sz w:val="20"/>
        </w:rPr>
        <w:t xml:space="preserve"> four criminal cases were </w:t>
      </w:r>
      <w:r w:rsidR="00BD3E63">
        <w:rPr>
          <w:rFonts w:ascii="Arial" w:hAnsi="Arial"/>
          <w:sz w:val="20"/>
        </w:rPr>
        <w:t xml:space="preserve">opened </w:t>
      </w:r>
      <w:r w:rsidR="00BF5495">
        <w:rPr>
          <w:rFonts w:ascii="Arial" w:hAnsi="Arial"/>
          <w:sz w:val="20"/>
        </w:rPr>
        <w:t xml:space="preserve">under the new </w:t>
      </w:r>
      <w:r w:rsidR="00BD3E63">
        <w:rPr>
          <w:rFonts w:ascii="Arial" w:hAnsi="Arial"/>
          <w:sz w:val="20"/>
        </w:rPr>
        <w:t>definition</w:t>
      </w:r>
      <w:r w:rsidR="005F3613">
        <w:rPr>
          <w:rFonts w:ascii="Arial" w:hAnsi="Arial"/>
          <w:sz w:val="20"/>
        </w:rPr>
        <w:t xml:space="preserve"> of torture</w:t>
      </w:r>
      <w:r w:rsidR="00BF5495">
        <w:rPr>
          <w:rFonts w:ascii="Arial" w:hAnsi="Arial"/>
          <w:sz w:val="20"/>
        </w:rPr>
        <w:t xml:space="preserve">. However, </w:t>
      </w:r>
      <w:r w:rsidR="00BE24A4">
        <w:rPr>
          <w:rFonts w:ascii="Arial" w:hAnsi="Arial"/>
          <w:sz w:val="20"/>
        </w:rPr>
        <w:t xml:space="preserve">one of the cases </w:t>
      </w:r>
      <w:r w:rsidR="008C3507">
        <w:rPr>
          <w:rFonts w:ascii="Arial" w:hAnsi="Arial"/>
          <w:sz w:val="20"/>
        </w:rPr>
        <w:t xml:space="preserve">was requalified </w:t>
      </w:r>
      <w:r w:rsidR="00BE24A4">
        <w:rPr>
          <w:rFonts w:ascii="Arial" w:hAnsi="Arial"/>
          <w:sz w:val="20"/>
        </w:rPr>
        <w:t xml:space="preserve">as a different crime under </w:t>
      </w:r>
      <w:r w:rsidR="008C3507">
        <w:rPr>
          <w:rFonts w:ascii="Arial" w:hAnsi="Arial"/>
          <w:sz w:val="20"/>
        </w:rPr>
        <w:t xml:space="preserve">the Criminal Code and </w:t>
      </w:r>
      <w:r w:rsidR="00BF5495">
        <w:rPr>
          <w:rFonts w:ascii="Arial" w:hAnsi="Arial"/>
          <w:sz w:val="20"/>
        </w:rPr>
        <w:t xml:space="preserve">there were concerns about whether the sentences were commensurate with the crimes committed. </w:t>
      </w:r>
      <w:r w:rsidR="008B77C1">
        <w:rPr>
          <w:rFonts w:ascii="Arial" w:hAnsi="Arial"/>
          <w:sz w:val="20"/>
        </w:rPr>
        <w:t>Two police officers were</w:t>
      </w:r>
      <w:r w:rsidR="00BF5495">
        <w:rPr>
          <w:rFonts w:ascii="Arial" w:hAnsi="Arial"/>
          <w:sz w:val="20"/>
        </w:rPr>
        <w:t xml:space="preserve"> sentenced to seven years’</w:t>
      </w:r>
      <w:r w:rsidR="008B77C1">
        <w:rPr>
          <w:rFonts w:ascii="Arial" w:hAnsi="Arial"/>
          <w:sz w:val="20"/>
        </w:rPr>
        <w:t xml:space="preserve"> and one year of imprisonment respectively</w:t>
      </w:r>
      <w:r w:rsidR="00215AE7">
        <w:rPr>
          <w:rFonts w:ascii="Arial" w:hAnsi="Arial"/>
          <w:sz w:val="20"/>
        </w:rPr>
        <w:t xml:space="preserve">, while </w:t>
      </w:r>
      <w:r w:rsidR="00BE24A4">
        <w:rPr>
          <w:rFonts w:ascii="Arial" w:hAnsi="Arial"/>
          <w:sz w:val="20"/>
        </w:rPr>
        <w:t xml:space="preserve">a third </w:t>
      </w:r>
      <w:r w:rsidR="00F47E99">
        <w:rPr>
          <w:rFonts w:ascii="Arial" w:hAnsi="Arial"/>
          <w:sz w:val="20"/>
        </w:rPr>
        <w:t>convicted</w:t>
      </w:r>
      <w:r w:rsidR="00CD62E2">
        <w:rPr>
          <w:rFonts w:ascii="Arial" w:hAnsi="Arial"/>
          <w:sz w:val="20"/>
        </w:rPr>
        <w:t xml:space="preserve"> </w:t>
      </w:r>
      <w:r w:rsidR="00BE24A4">
        <w:rPr>
          <w:rFonts w:ascii="Arial" w:hAnsi="Arial"/>
          <w:sz w:val="20"/>
        </w:rPr>
        <w:t>police officer</w:t>
      </w:r>
      <w:r w:rsidR="00215AE7">
        <w:rPr>
          <w:rFonts w:ascii="Arial" w:hAnsi="Arial"/>
          <w:sz w:val="20"/>
        </w:rPr>
        <w:t xml:space="preserve"> is serving </w:t>
      </w:r>
      <w:r w:rsidR="008C3507">
        <w:rPr>
          <w:rFonts w:ascii="Arial" w:hAnsi="Arial"/>
          <w:sz w:val="20"/>
        </w:rPr>
        <w:t xml:space="preserve">a </w:t>
      </w:r>
      <w:r w:rsidR="00BF5495">
        <w:rPr>
          <w:rFonts w:ascii="Arial" w:hAnsi="Arial"/>
          <w:sz w:val="20"/>
        </w:rPr>
        <w:t>s</w:t>
      </w:r>
      <w:r w:rsidR="007D3422">
        <w:rPr>
          <w:rFonts w:ascii="Arial" w:hAnsi="Arial"/>
          <w:sz w:val="20"/>
        </w:rPr>
        <w:t>uspended sentence</w:t>
      </w:r>
      <w:r w:rsidR="00377DEB">
        <w:rPr>
          <w:rFonts w:ascii="Arial" w:hAnsi="Arial"/>
          <w:sz w:val="20"/>
        </w:rPr>
        <w:t xml:space="preserve"> of </w:t>
      </w:r>
      <w:r w:rsidR="008B77C1">
        <w:rPr>
          <w:rFonts w:ascii="Arial" w:hAnsi="Arial"/>
          <w:sz w:val="20"/>
        </w:rPr>
        <w:t>two years</w:t>
      </w:r>
      <w:r w:rsidR="0059376D">
        <w:rPr>
          <w:rFonts w:ascii="Arial" w:hAnsi="Arial"/>
          <w:sz w:val="20"/>
        </w:rPr>
        <w:t xml:space="preserve">. </w:t>
      </w:r>
      <w:r w:rsidR="00BE24A4">
        <w:rPr>
          <w:rFonts w:ascii="Arial" w:hAnsi="Arial"/>
          <w:sz w:val="20"/>
        </w:rPr>
        <w:t xml:space="preserve">A forth officer </w:t>
      </w:r>
      <w:r w:rsidR="008C3507">
        <w:rPr>
          <w:rFonts w:ascii="Arial" w:hAnsi="Arial"/>
          <w:sz w:val="20"/>
        </w:rPr>
        <w:t>was</w:t>
      </w:r>
      <w:r w:rsidR="00AD13D5">
        <w:rPr>
          <w:rFonts w:ascii="Arial" w:hAnsi="Arial"/>
          <w:sz w:val="20"/>
        </w:rPr>
        <w:t xml:space="preserve"> </w:t>
      </w:r>
      <w:r w:rsidR="0059376D">
        <w:rPr>
          <w:rFonts w:ascii="Arial" w:hAnsi="Arial"/>
          <w:sz w:val="20"/>
        </w:rPr>
        <w:t xml:space="preserve">only </w:t>
      </w:r>
      <w:r w:rsidR="00AD13D5">
        <w:rPr>
          <w:rFonts w:ascii="Arial" w:hAnsi="Arial"/>
          <w:sz w:val="20"/>
        </w:rPr>
        <w:t>ordered to pay</w:t>
      </w:r>
      <w:r w:rsidR="00FC7FEE">
        <w:rPr>
          <w:rFonts w:ascii="Arial" w:hAnsi="Arial"/>
          <w:sz w:val="20"/>
        </w:rPr>
        <w:t xml:space="preserve"> a fine.</w:t>
      </w:r>
      <w:r w:rsidR="008D281C" w:rsidRPr="008D281C">
        <w:rPr>
          <w:rFonts w:ascii="Arial" w:hAnsi="Arial"/>
          <w:sz w:val="20"/>
        </w:rPr>
        <w:t xml:space="preserve"> </w:t>
      </w:r>
    </w:p>
    <w:p w:rsidR="001C02D7" w:rsidRDefault="001C02D7" w:rsidP="008B7D16">
      <w:pPr>
        <w:jc w:val="both"/>
        <w:rPr>
          <w:rFonts w:ascii="Arial" w:hAnsi="Arial"/>
          <w:sz w:val="20"/>
        </w:rPr>
      </w:pPr>
    </w:p>
    <w:p w:rsidR="000314CE" w:rsidRDefault="001C02D7" w:rsidP="008B7D16">
      <w:pPr>
        <w:jc w:val="both"/>
        <w:rPr>
          <w:rFonts w:ascii="Arial" w:hAnsi="Arial"/>
          <w:sz w:val="20"/>
          <w:lang w:val="fr-FR"/>
        </w:rPr>
      </w:pPr>
      <w:r>
        <w:rPr>
          <w:rFonts w:ascii="Arial" w:hAnsi="Arial"/>
          <w:sz w:val="20"/>
        </w:rPr>
        <w:t xml:space="preserve">In June 2012, the Plenum of the Supreme Court issued a decision on “The implementation of norms included in criminal and criminal-procedural legislation regarding torture prevention” </w:t>
      </w:r>
      <w:r w:rsidR="00DE2692">
        <w:rPr>
          <w:rFonts w:ascii="Arial" w:hAnsi="Arial"/>
          <w:sz w:val="20"/>
        </w:rPr>
        <w:t>that, among others, clarified that a person is considered a detainee as soon as he or she is deprived of his</w:t>
      </w:r>
      <w:r w:rsidR="000314CE">
        <w:rPr>
          <w:rFonts w:ascii="Arial" w:hAnsi="Arial"/>
          <w:sz w:val="20"/>
        </w:rPr>
        <w:t xml:space="preserve"> or her</w:t>
      </w:r>
      <w:r w:rsidR="00DE2692">
        <w:rPr>
          <w:rFonts w:ascii="Arial" w:hAnsi="Arial"/>
          <w:sz w:val="20"/>
        </w:rPr>
        <w:t xml:space="preserve"> liberty and entitled to all relevant legal safeguards. </w:t>
      </w:r>
      <w:r w:rsidR="00DE2692">
        <w:rPr>
          <w:rFonts w:ascii="Arial" w:eastAsia="Cambria" w:hAnsi="Arial" w:cs="Times New Roman"/>
          <w:sz w:val="20"/>
          <w:lang w:val="fr-FR"/>
        </w:rPr>
        <w:t>However, this decision</w:t>
      </w:r>
      <w:r w:rsidR="00DE2692" w:rsidRPr="007A5797">
        <w:rPr>
          <w:rFonts w:ascii="Arial" w:eastAsia="Cambria" w:hAnsi="Arial" w:cs="Times New Roman"/>
          <w:sz w:val="20"/>
          <w:lang w:val="fr-FR"/>
        </w:rPr>
        <w:t xml:space="preserve"> was principally directed at judges rather than law enforcement officials</w:t>
      </w:r>
      <w:r w:rsidR="00DE2692">
        <w:rPr>
          <w:rFonts w:ascii="Arial" w:eastAsia="Cambria" w:hAnsi="Arial" w:cs="Times New Roman"/>
          <w:sz w:val="20"/>
          <w:lang w:val="fr-FR"/>
        </w:rPr>
        <w:t xml:space="preserve"> and is regarded as a recommendation rather than binding law. It</w:t>
      </w:r>
      <w:r w:rsidR="00DE2692">
        <w:rPr>
          <w:rFonts w:ascii="Arial" w:hAnsi="Arial"/>
          <w:sz w:val="20"/>
          <w:lang w:val="fr-FR"/>
        </w:rPr>
        <w:t xml:space="preserve"> did not result in noticable improvements in practice</w:t>
      </w:r>
      <w:r w:rsidR="000314CE">
        <w:rPr>
          <w:rFonts w:ascii="Arial" w:hAnsi="Arial"/>
          <w:sz w:val="20"/>
          <w:lang w:val="fr-FR"/>
        </w:rPr>
        <w:t xml:space="preserve"> and police usually still consider a person detained only after the detention record is drawn up. </w:t>
      </w:r>
      <w:r w:rsidR="004B0C68">
        <w:rPr>
          <w:rFonts w:ascii="Arial" w:hAnsi="Arial"/>
          <w:sz w:val="20"/>
          <w:lang w:val="fr-FR"/>
        </w:rPr>
        <w:t xml:space="preserve">As a result, after apprehension detainees are </w:t>
      </w:r>
      <w:r w:rsidR="00540877">
        <w:rPr>
          <w:rFonts w:ascii="Arial" w:hAnsi="Arial"/>
          <w:sz w:val="20"/>
          <w:lang w:val="fr-FR"/>
        </w:rPr>
        <w:t>frequent</w:t>
      </w:r>
      <w:r w:rsidR="004B0C68">
        <w:rPr>
          <w:rFonts w:ascii="Arial" w:hAnsi="Arial"/>
          <w:sz w:val="20"/>
          <w:lang w:val="fr-FR"/>
        </w:rPr>
        <w:t>ly held incommunicado for hours, putting them at risk of torture or other forms of ill-treatment.</w:t>
      </w:r>
    </w:p>
    <w:p w:rsidR="000314CE" w:rsidRDefault="000314CE" w:rsidP="008B7D16">
      <w:pPr>
        <w:jc w:val="both"/>
        <w:rPr>
          <w:rFonts w:ascii="Arial" w:hAnsi="Arial"/>
          <w:sz w:val="20"/>
          <w:lang w:val="fr-FR"/>
        </w:rPr>
      </w:pPr>
    </w:p>
    <w:p w:rsidR="001C02D7" w:rsidRDefault="00F75347" w:rsidP="008B7D16">
      <w:pPr>
        <w:jc w:val="both"/>
        <w:rPr>
          <w:rFonts w:ascii="Arial" w:hAnsi="Arial"/>
          <w:sz w:val="20"/>
        </w:rPr>
      </w:pPr>
      <w:r>
        <w:rPr>
          <w:rFonts w:ascii="Arial" w:hAnsi="Arial"/>
          <w:sz w:val="20"/>
        </w:rPr>
        <w:t>In 2013, t</w:t>
      </w:r>
      <w:r w:rsidR="005C3B95">
        <w:rPr>
          <w:rFonts w:ascii="Arial" w:hAnsi="Arial"/>
          <w:sz w:val="20"/>
        </w:rPr>
        <w:t xml:space="preserve">he </w:t>
      </w:r>
      <w:r w:rsidR="00F47E99">
        <w:rPr>
          <w:rFonts w:ascii="Arial" w:hAnsi="Arial"/>
          <w:sz w:val="20"/>
        </w:rPr>
        <w:t>Prosecutor General</w:t>
      </w:r>
      <w:r>
        <w:rPr>
          <w:rFonts w:ascii="Arial" w:hAnsi="Arial"/>
          <w:sz w:val="20"/>
        </w:rPr>
        <w:t xml:space="preserve"> adopted a </w:t>
      </w:r>
      <w:r w:rsidR="003C644A">
        <w:rPr>
          <w:rFonts w:ascii="Arial" w:hAnsi="Arial"/>
          <w:sz w:val="20"/>
        </w:rPr>
        <w:t xml:space="preserve">textbook for prosecutors, entitled “Legal </w:t>
      </w:r>
      <w:r w:rsidR="00620688">
        <w:rPr>
          <w:rFonts w:ascii="Arial" w:hAnsi="Arial"/>
          <w:sz w:val="20"/>
        </w:rPr>
        <w:t xml:space="preserve">foundations and organization of activities of the organs of the procuracy on prevention, detection and investigation of torture”. However, </w:t>
      </w:r>
      <w:r w:rsidR="009010AD">
        <w:rPr>
          <w:rFonts w:ascii="Arial" w:hAnsi="Arial"/>
          <w:sz w:val="20"/>
        </w:rPr>
        <w:t>this document is for internal use o</w:t>
      </w:r>
      <w:r w:rsidR="00684FE0">
        <w:rPr>
          <w:rFonts w:ascii="Arial" w:hAnsi="Arial"/>
          <w:sz w:val="20"/>
        </w:rPr>
        <w:t>nly, so its content is not accessible to the public</w:t>
      </w:r>
      <w:r w:rsidR="009010AD">
        <w:rPr>
          <w:rFonts w:ascii="Arial" w:hAnsi="Arial"/>
          <w:sz w:val="20"/>
        </w:rPr>
        <w:t>.</w:t>
      </w:r>
      <w:r w:rsidR="00777CF1">
        <w:rPr>
          <w:rFonts w:ascii="Arial" w:hAnsi="Arial"/>
          <w:sz w:val="20"/>
        </w:rPr>
        <w:t xml:space="preserve"> </w:t>
      </w:r>
      <w:r w:rsidR="00777CF1" w:rsidRPr="00790B01">
        <w:rPr>
          <w:rFonts w:ascii="Arial" w:hAnsi="Arial"/>
          <w:sz w:val="20"/>
          <w:lang w:val="en-GB"/>
        </w:rPr>
        <w:t xml:space="preserve"> </w:t>
      </w:r>
    </w:p>
    <w:p w:rsidR="00E14665" w:rsidRDefault="001C02D7" w:rsidP="008B7D16">
      <w:pPr>
        <w:jc w:val="both"/>
        <w:rPr>
          <w:rFonts w:ascii="Arial" w:hAnsi="Arial"/>
          <w:sz w:val="20"/>
        </w:rPr>
      </w:pPr>
      <w:r w:rsidRPr="001C02D7">
        <w:rPr>
          <w:rFonts w:ascii="Arial" w:hAnsi="Arial"/>
          <w:sz w:val="20"/>
          <w:lang w:val="de-DE"/>
        </w:rPr>
        <w:t xml:space="preserve"> </w:t>
      </w:r>
    </w:p>
    <w:p w:rsidR="005A0BC5" w:rsidRDefault="00E14665" w:rsidP="0054715E">
      <w:pPr>
        <w:jc w:val="both"/>
        <w:rPr>
          <w:rFonts w:ascii="Arial" w:hAnsi="Arial"/>
          <w:sz w:val="20"/>
        </w:rPr>
      </w:pPr>
      <w:r>
        <w:rPr>
          <w:rFonts w:ascii="Arial" w:hAnsi="Arial"/>
          <w:sz w:val="20"/>
        </w:rPr>
        <w:t xml:space="preserve">In 2014, </w:t>
      </w:r>
      <w:r w:rsidR="002139DF">
        <w:rPr>
          <w:rFonts w:ascii="Arial" w:hAnsi="Arial"/>
          <w:sz w:val="20"/>
        </w:rPr>
        <w:t>in the first known cases in Tajikistan where courts ordered compensation for torture</w:t>
      </w:r>
      <w:r w:rsidR="0059376D">
        <w:rPr>
          <w:rFonts w:ascii="Arial" w:hAnsi="Arial"/>
          <w:sz w:val="20"/>
        </w:rPr>
        <w:t xml:space="preserve">, </w:t>
      </w:r>
      <w:r>
        <w:rPr>
          <w:rFonts w:ascii="Arial" w:hAnsi="Arial"/>
          <w:sz w:val="20"/>
        </w:rPr>
        <w:t>the famil</w:t>
      </w:r>
      <w:r w:rsidR="0054715E">
        <w:rPr>
          <w:rFonts w:ascii="Arial" w:hAnsi="Arial"/>
          <w:sz w:val="20"/>
        </w:rPr>
        <w:t xml:space="preserve">ies of </w:t>
      </w:r>
      <w:r w:rsidR="00F861D7">
        <w:rPr>
          <w:rFonts w:ascii="Arial" w:hAnsi="Arial"/>
          <w:sz w:val="20"/>
        </w:rPr>
        <w:t xml:space="preserve">Safarali Sangov and </w:t>
      </w:r>
      <w:r w:rsidR="00C8688E">
        <w:rPr>
          <w:rFonts w:ascii="Arial" w:hAnsi="Arial"/>
          <w:sz w:val="20"/>
        </w:rPr>
        <w:t xml:space="preserve">Bahromiddin </w:t>
      </w:r>
      <w:r w:rsidR="00F861D7">
        <w:rPr>
          <w:rFonts w:ascii="Arial" w:hAnsi="Arial"/>
          <w:sz w:val="20"/>
        </w:rPr>
        <w:t xml:space="preserve">Shodiev, </w:t>
      </w:r>
      <w:r w:rsidR="0054715E">
        <w:rPr>
          <w:rFonts w:ascii="Arial" w:hAnsi="Arial"/>
          <w:sz w:val="20"/>
        </w:rPr>
        <w:t>who died in custody</w:t>
      </w:r>
      <w:r w:rsidR="00DA6234">
        <w:rPr>
          <w:rFonts w:ascii="Arial" w:hAnsi="Arial"/>
          <w:sz w:val="20"/>
        </w:rPr>
        <w:t xml:space="preserve"> as a result of torture in two separate incidents in 2011</w:t>
      </w:r>
      <w:r w:rsidR="0054715E">
        <w:rPr>
          <w:rFonts w:ascii="Arial" w:hAnsi="Arial"/>
          <w:sz w:val="20"/>
        </w:rPr>
        <w:t xml:space="preserve">, </w:t>
      </w:r>
      <w:r w:rsidR="0059376D">
        <w:rPr>
          <w:rFonts w:ascii="Arial" w:hAnsi="Arial"/>
          <w:sz w:val="20"/>
        </w:rPr>
        <w:t>received compensation from the</w:t>
      </w:r>
      <w:r>
        <w:rPr>
          <w:rFonts w:ascii="Arial" w:hAnsi="Arial"/>
          <w:sz w:val="20"/>
        </w:rPr>
        <w:t xml:space="preserve"> </w:t>
      </w:r>
      <w:r w:rsidR="0059376D" w:rsidRPr="00790B01">
        <w:rPr>
          <w:rFonts w:ascii="Arial" w:hAnsi="Arial"/>
          <w:sz w:val="20"/>
          <w:lang w:val="en-GB"/>
        </w:rPr>
        <w:t xml:space="preserve">authorities. </w:t>
      </w:r>
      <w:r w:rsidR="0084109C">
        <w:rPr>
          <w:rFonts w:ascii="Arial" w:hAnsi="Arial"/>
          <w:sz w:val="20"/>
          <w:lang w:val="en-GB"/>
        </w:rPr>
        <w:t>However, to our knowledge, no further measures</w:t>
      </w:r>
      <w:r w:rsidR="00A72A52">
        <w:rPr>
          <w:rFonts w:ascii="Arial" w:hAnsi="Arial"/>
          <w:sz w:val="20"/>
          <w:lang w:val="en-GB"/>
        </w:rPr>
        <w:t xml:space="preserve"> of reparation were granted to the victims.</w:t>
      </w:r>
    </w:p>
    <w:p w:rsidR="005A0BC5" w:rsidRDefault="005A0BC5" w:rsidP="0054715E">
      <w:pPr>
        <w:jc w:val="both"/>
        <w:rPr>
          <w:rFonts w:ascii="Arial" w:hAnsi="Arial"/>
          <w:sz w:val="20"/>
        </w:rPr>
      </w:pPr>
    </w:p>
    <w:p w:rsidR="00831E29" w:rsidRPr="00D9322B" w:rsidRDefault="00831E29" w:rsidP="00831E29">
      <w:pPr>
        <w:jc w:val="both"/>
        <w:rPr>
          <w:rFonts w:ascii="Arial" w:eastAsia="Cambria" w:hAnsi="Arial" w:cs="Times New Roman"/>
          <w:sz w:val="20"/>
        </w:rPr>
      </w:pPr>
      <w:r w:rsidRPr="00D122D5">
        <w:rPr>
          <w:rFonts w:ascii="Arial" w:eastAsia="Cambria" w:hAnsi="Arial" w:cs="Times New Roman"/>
          <w:sz w:val="20"/>
          <w:lang w:val="en-GB"/>
        </w:rPr>
        <w:t>In</w:t>
      </w:r>
      <w:r w:rsidRPr="00D122D5">
        <w:rPr>
          <w:rFonts w:ascii="Arial" w:eastAsia="Cambria" w:hAnsi="Arial" w:cs="Times New Roman"/>
          <w:sz w:val="20"/>
        </w:rPr>
        <w:t xml:space="preserve"> </w:t>
      </w:r>
      <w:r>
        <w:rPr>
          <w:rFonts w:ascii="Arial" w:eastAsia="Cambria" w:hAnsi="Arial" w:cs="Times New Roman"/>
          <w:sz w:val="20"/>
        </w:rPr>
        <w:t xml:space="preserve">December 2012, a Working Group that included NGO representatives was established on the initiative of the </w:t>
      </w:r>
      <w:r w:rsidRPr="00CA2E3D">
        <w:rPr>
          <w:rFonts w:ascii="Arial" w:eastAsia="Cambria" w:hAnsi="Arial" w:cs="Times New Roman"/>
          <w:sz w:val="20"/>
          <w:lang w:val="en-GB"/>
        </w:rPr>
        <w:t>Minister</w:t>
      </w:r>
      <w:r w:rsidRPr="00CA2E3D">
        <w:rPr>
          <w:rFonts w:ascii="Arial" w:eastAsia="Cambria" w:hAnsi="Arial" w:cs="Times New Roman"/>
          <w:sz w:val="20"/>
        </w:rPr>
        <w:t xml:space="preserve"> </w:t>
      </w:r>
      <w:r w:rsidRPr="00CA2E3D">
        <w:rPr>
          <w:rFonts w:ascii="Arial" w:eastAsia="Cambria" w:hAnsi="Arial" w:cs="Times New Roman"/>
          <w:sz w:val="20"/>
          <w:lang w:val="en-GB"/>
        </w:rPr>
        <w:t>of</w:t>
      </w:r>
      <w:r w:rsidRPr="00CA2E3D">
        <w:rPr>
          <w:rFonts w:ascii="Arial" w:eastAsia="Cambria" w:hAnsi="Arial" w:cs="Times New Roman"/>
          <w:sz w:val="20"/>
        </w:rPr>
        <w:t xml:space="preserve"> </w:t>
      </w:r>
      <w:r w:rsidRPr="00CA2E3D">
        <w:rPr>
          <w:rFonts w:ascii="Arial" w:eastAsia="Cambria" w:hAnsi="Arial" w:cs="Times New Roman"/>
          <w:sz w:val="20"/>
          <w:lang w:val="en-GB"/>
        </w:rPr>
        <w:t>Health</w:t>
      </w:r>
      <w:r w:rsidRPr="00CA2E3D">
        <w:rPr>
          <w:rFonts w:ascii="Arial" w:eastAsia="Cambria" w:hAnsi="Arial" w:cs="Times New Roman"/>
          <w:sz w:val="20"/>
        </w:rPr>
        <w:t xml:space="preserve"> </w:t>
      </w:r>
      <w:r w:rsidRPr="00CA2E3D">
        <w:rPr>
          <w:rFonts w:ascii="Arial" w:eastAsia="Cambria" w:hAnsi="Arial" w:cs="Times New Roman"/>
          <w:sz w:val="20"/>
          <w:lang w:val="en-GB"/>
        </w:rPr>
        <w:t>and</w:t>
      </w:r>
      <w:r w:rsidRPr="00CA2E3D">
        <w:rPr>
          <w:rFonts w:ascii="Arial" w:eastAsia="Cambria" w:hAnsi="Arial" w:cs="Times New Roman"/>
          <w:sz w:val="20"/>
        </w:rPr>
        <w:t xml:space="preserve"> </w:t>
      </w:r>
      <w:r w:rsidRPr="00CA2E3D">
        <w:rPr>
          <w:rFonts w:ascii="Arial" w:eastAsia="Cambria" w:hAnsi="Arial" w:cs="Times New Roman"/>
          <w:sz w:val="20"/>
          <w:lang w:val="en-GB"/>
        </w:rPr>
        <w:t>Social</w:t>
      </w:r>
      <w:r w:rsidRPr="00CA2E3D">
        <w:rPr>
          <w:rFonts w:ascii="Arial" w:eastAsia="Cambria" w:hAnsi="Arial" w:cs="Times New Roman"/>
          <w:sz w:val="20"/>
        </w:rPr>
        <w:t xml:space="preserve"> </w:t>
      </w:r>
      <w:r w:rsidRPr="00CA2E3D">
        <w:rPr>
          <w:rFonts w:ascii="Arial" w:eastAsia="Cambria" w:hAnsi="Arial" w:cs="Times New Roman"/>
          <w:sz w:val="20"/>
          <w:lang w:val="en-GB"/>
        </w:rPr>
        <w:t>Welfare to introduce the standards of</w:t>
      </w:r>
      <w:r w:rsidRPr="00CA2E3D">
        <w:rPr>
          <w:rFonts w:ascii="Arial" w:eastAsia="Cambria" w:hAnsi="Arial" w:cs="Times New Roman"/>
          <w:sz w:val="20"/>
        </w:rPr>
        <w:t xml:space="preserve"> </w:t>
      </w:r>
      <w:r w:rsidRPr="00CA2E3D">
        <w:rPr>
          <w:rFonts w:ascii="Arial" w:eastAsia="Cambria" w:hAnsi="Arial" w:cs="Times New Roman"/>
          <w:sz w:val="20"/>
          <w:lang w:val="en-GB"/>
        </w:rPr>
        <w:t>the</w:t>
      </w:r>
      <w:r w:rsidRPr="00CA2E3D">
        <w:rPr>
          <w:rFonts w:ascii="Arial" w:eastAsia="Cambria" w:hAnsi="Arial" w:cs="Times New Roman"/>
          <w:sz w:val="20"/>
        </w:rPr>
        <w:t xml:space="preserve"> </w:t>
      </w:r>
      <w:r w:rsidR="00CA2E3D">
        <w:rPr>
          <w:rFonts w:ascii="Arial" w:eastAsia="Cambria" w:hAnsi="Arial" w:cs="Times New Roman"/>
          <w:sz w:val="20"/>
        </w:rPr>
        <w:t xml:space="preserve">UN </w:t>
      </w:r>
      <w:r w:rsidR="00CA2E3D" w:rsidRPr="00CA2E3D">
        <w:rPr>
          <w:rFonts w:ascii="Arial" w:hAnsi="Arial"/>
          <w:bCs/>
          <w:sz w:val="20"/>
          <w:lang w:val="de-DE"/>
        </w:rPr>
        <w:t xml:space="preserve">Manual on Effective Investigation and Documentation of Torture and Other Cruel, Inhuman or Degrading Treatment or Punishment, commonly known as the </w:t>
      </w:r>
      <w:r w:rsidRPr="00CA2E3D">
        <w:rPr>
          <w:rFonts w:ascii="Arial" w:eastAsia="Cambria" w:hAnsi="Arial" w:cs="Times New Roman"/>
          <w:sz w:val="20"/>
          <w:lang w:val="en-GB"/>
        </w:rPr>
        <w:t>Istanbul</w:t>
      </w:r>
      <w:r w:rsidRPr="00CA2E3D">
        <w:rPr>
          <w:rFonts w:ascii="Arial" w:eastAsia="Cambria" w:hAnsi="Arial" w:cs="Times New Roman"/>
          <w:sz w:val="20"/>
        </w:rPr>
        <w:t xml:space="preserve"> </w:t>
      </w:r>
      <w:r w:rsidRPr="00CA2E3D">
        <w:rPr>
          <w:rFonts w:ascii="Arial" w:eastAsia="Cambria" w:hAnsi="Arial" w:cs="Times New Roman"/>
          <w:sz w:val="20"/>
          <w:lang w:val="en-GB"/>
        </w:rPr>
        <w:t>Protocol</w:t>
      </w:r>
      <w:r w:rsidR="00CA2E3D" w:rsidRPr="00CA2E3D">
        <w:rPr>
          <w:rFonts w:ascii="Arial" w:eastAsia="Cambria" w:hAnsi="Arial" w:cs="Times New Roman"/>
          <w:sz w:val="20"/>
          <w:lang w:val="en-GB"/>
        </w:rPr>
        <w:t>,</w:t>
      </w:r>
      <w:r w:rsidRPr="00CA2E3D">
        <w:rPr>
          <w:rFonts w:ascii="Arial" w:eastAsia="Cambria" w:hAnsi="Arial" w:cs="Times New Roman"/>
          <w:sz w:val="20"/>
        </w:rPr>
        <w:t xml:space="preserve"> in</w:t>
      </w:r>
      <w:r w:rsidRPr="00CA2E3D">
        <w:rPr>
          <w:rFonts w:ascii="Arial" w:eastAsia="Cambria" w:hAnsi="Arial" w:cs="Times New Roman"/>
          <w:sz w:val="20"/>
          <w:lang w:val="en-GB"/>
        </w:rPr>
        <w:t>to</w:t>
      </w:r>
      <w:r w:rsidRPr="00CA2E3D">
        <w:rPr>
          <w:rFonts w:ascii="Arial" w:eastAsia="Cambria" w:hAnsi="Arial" w:cs="Times New Roman"/>
          <w:sz w:val="20"/>
        </w:rPr>
        <w:t xml:space="preserve"> </w:t>
      </w:r>
      <w:r w:rsidRPr="00CA2E3D">
        <w:rPr>
          <w:rFonts w:ascii="Arial" w:eastAsia="Cambria" w:hAnsi="Arial" w:cs="Times New Roman"/>
          <w:sz w:val="20"/>
          <w:lang w:val="en-GB"/>
        </w:rPr>
        <w:t>internal</w:t>
      </w:r>
      <w:r w:rsidRPr="00CA2E3D">
        <w:rPr>
          <w:rFonts w:ascii="Arial" w:eastAsia="Cambria" w:hAnsi="Arial" w:cs="Times New Roman"/>
          <w:sz w:val="20"/>
        </w:rPr>
        <w:t xml:space="preserve"> </w:t>
      </w:r>
      <w:r w:rsidRPr="00CA2E3D">
        <w:rPr>
          <w:rFonts w:ascii="Arial" w:eastAsia="Cambria" w:hAnsi="Arial" w:cs="Times New Roman"/>
          <w:sz w:val="20"/>
          <w:lang w:val="en-GB"/>
        </w:rPr>
        <w:t>documents</w:t>
      </w:r>
      <w:r w:rsidRPr="00CA2E3D">
        <w:rPr>
          <w:rFonts w:ascii="Arial" w:eastAsia="Cambria" w:hAnsi="Arial" w:cs="Times New Roman"/>
          <w:sz w:val="20"/>
        </w:rPr>
        <w:t xml:space="preserve"> </w:t>
      </w:r>
      <w:r w:rsidRPr="00CA2E3D">
        <w:rPr>
          <w:rFonts w:ascii="Arial" w:eastAsia="Cambria" w:hAnsi="Arial" w:cs="Times New Roman"/>
          <w:sz w:val="20"/>
          <w:lang w:val="en-GB"/>
        </w:rPr>
        <w:t>of</w:t>
      </w:r>
      <w:r w:rsidRPr="00CA2E3D">
        <w:rPr>
          <w:rFonts w:ascii="Arial" w:eastAsia="Cambria" w:hAnsi="Arial" w:cs="Times New Roman"/>
          <w:sz w:val="20"/>
        </w:rPr>
        <w:t xml:space="preserve"> </w:t>
      </w:r>
      <w:r w:rsidRPr="00CA2E3D">
        <w:rPr>
          <w:rFonts w:ascii="Arial" w:eastAsia="Cambria" w:hAnsi="Arial" w:cs="Times New Roman"/>
          <w:sz w:val="20"/>
          <w:lang w:val="en-GB"/>
        </w:rPr>
        <w:t>forensic</w:t>
      </w:r>
      <w:r w:rsidRPr="00CA2E3D">
        <w:rPr>
          <w:rFonts w:ascii="Arial" w:eastAsia="Cambria" w:hAnsi="Arial" w:cs="Times New Roman"/>
          <w:sz w:val="20"/>
        </w:rPr>
        <w:t xml:space="preserve"> </w:t>
      </w:r>
      <w:r w:rsidRPr="00CA2E3D">
        <w:rPr>
          <w:rFonts w:ascii="Arial" w:eastAsia="Cambria" w:hAnsi="Arial" w:cs="Times New Roman"/>
          <w:sz w:val="20"/>
          <w:lang w:val="en-GB"/>
        </w:rPr>
        <w:t>experts</w:t>
      </w:r>
      <w:r w:rsidRPr="00CA2E3D">
        <w:rPr>
          <w:rFonts w:ascii="Arial" w:eastAsia="Cambria" w:hAnsi="Arial" w:cs="Times New Roman"/>
          <w:sz w:val="20"/>
        </w:rPr>
        <w:t xml:space="preserve">. Subsequently, the NGO Human Rights Centre, a member of the Coalition against Torture in Tajikistan, conducted </w:t>
      </w:r>
      <w:r w:rsidRPr="00CA2E3D">
        <w:rPr>
          <w:rFonts w:ascii="Arial" w:eastAsia="Cambria" w:hAnsi="Arial" w:cs="Times New Roman"/>
          <w:sz w:val="20"/>
          <w:lang w:val="pl-PL"/>
        </w:rPr>
        <w:t>trainings</w:t>
      </w:r>
      <w:r>
        <w:rPr>
          <w:rFonts w:ascii="Arial" w:eastAsia="Cambria" w:hAnsi="Arial" w:cs="Times New Roman"/>
          <w:sz w:val="20"/>
          <w:lang w:val="pl-PL"/>
        </w:rPr>
        <w:t xml:space="preserve"> on standards of the Istanbul Protocol</w:t>
      </w:r>
      <w:r w:rsidRPr="00D9322B">
        <w:rPr>
          <w:rFonts w:ascii="Arial" w:eastAsia="Cambria" w:hAnsi="Arial" w:cs="Times New Roman"/>
          <w:sz w:val="20"/>
          <w:lang w:val="pl-PL"/>
        </w:rPr>
        <w:t xml:space="preserve"> for 85 </w:t>
      </w:r>
      <w:r>
        <w:rPr>
          <w:rFonts w:ascii="Arial" w:eastAsia="Cambria" w:hAnsi="Arial" w:cs="Times New Roman"/>
          <w:sz w:val="20"/>
          <w:lang w:val="pl-PL"/>
        </w:rPr>
        <w:t>professionals</w:t>
      </w:r>
      <w:r w:rsidRPr="00D9322B">
        <w:rPr>
          <w:rFonts w:ascii="Arial" w:eastAsia="Cambria" w:hAnsi="Arial" w:cs="Times New Roman"/>
          <w:sz w:val="20"/>
          <w:lang w:val="pl-PL"/>
        </w:rPr>
        <w:t xml:space="preserve">, including forensic experts, </w:t>
      </w:r>
      <w:r>
        <w:rPr>
          <w:rFonts w:ascii="Arial" w:eastAsia="Cambria" w:hAnsi="Arial" w:cs="Times New Roman"/>
          <w:sz w:val="20"/>
          <w:lang w:val="pl-PL"/>
        </w:rPr>
        <w:t xml:space="preserve">medical and other </w:t>
      </w:r>
      <w:r w:rsidRPr="00D9322B">
        <w:rPr>
          <w:rFonts w:ascii="Arial" w:eastAsia="Cambria" w:hAnsi="Arial" w:cs="Times New Roman"/>
          <w:sz w:val="20"/>
          <w:lang w:val="pl-PL"/>
        </w:rPr>
        <w:t>personnel of closed institutions, judges, prosecutors</w:t>
      </w:r>
      <w:r>
        <w:rPr>
          <w:rFonts w:ascii="Arial" w:eastAsia="Cambria" w:hAnsi="Arial" w:cs="Times New Roman"/>
          <w:sz w:val="20"/>
          <w:lang w:val="pl-PL"/>
        </w:rPr>
        <w:t xml:space="preserve"> and</w:t>
      </w:r>
      <w:r w:rsidRPr="00D9322B">
        <w:rPr>
          <w:rFonts w:ascii="Arial" w:eastAsia="Cambria" w:hAnsi="Arial" w:cs="Times New Roman"/>
          <w:sz w:val="20"/>
          <w:lang w:val="pl-PL"/>
        </w:rPr>
        <w:t xml:space="preserve"> lawyers. </w:t>
      </w:r>
      <w:r>
        <w:rPr>
          <w:rFonts w:ascii="Arial" w:eastAsia="Cambria" w:hAnsi="Arial" w:cs="Times New Roman"/>
          <w:sz w:val="20"/>
          <w:lang w:val="pl-PL"/>
        </w:rPr>
        <w:t xml:space="preserve">It is necessary to provide further trainings on the standards of the Istanbul Protocol in order to significantly raise the quality of medical </w:t>
      </w:r>
      <w:r w:rsidR="007A0138">
        <w:rPr>
          <w:rFonts w:ascii="Arial" w:eastAsia="Cambria" w:hAnsi="Arial" w:cs="Times New Roman"/>
          <w:sz w:val="20"/>
          <w:lang w:val="pl-PL"/>
        </w:rPr>
        <w:t xml:space="preserve">examination </w:t>
      </w:r>
      <w:r>
        <w:rPr>
          <w:rFonts w:ascii="Arial" w:eastAsia="Cambria" w:hAnsi="Arial" w:cs="Times New Roman"/>
          <w:sz w:val="20"/>
          <w:lang w:val="pl-PL"/>
        </w:rPr>
        <w:t>of torture victims across Tajikistan.</w:t>
      </w:r>
    </w:p>
    <w:p w:rsidR="00831E29" w:rsidRPr="007A0138" w:rsidRDefault="00831E29" w:rsidP="00831E29">
      <w:pPr>
        <w:jc w:val="both"/>
        <w:rPr>
          <w:rFonts w:ascii="Times New Roman" w:eastAsia="Cambria" w:hAnsi="Times New Roman" w:cs="Times New Roman"/>
          <w:sz w:val="20"/>
        </w:rPr>
      </w:pPr>
    </w:p>
    <w:p w:rsidR="00205BB2" w:rsidRPr="002139DF" w:rsidRDefault="00B94FD6" w:rsidP="008B7D16">
      <w:pPr>
        <w:jc w:val="both"/>
        <w:rPr>
          <w:rFonts w:ascii="Arial" w:hAnsi="Arial"/>
          <w:sz w:val="20"/>
          <w:lang w:val="de-DE"/>
        </w:rPr>
      </w:pPr>
      <w:r w:rsidRPr="00A23F37">
        <w:rPr>
          <w:rFonts w:ascii="Arial" w:hAnsi="Arial"/>
          <w:sz w:val="20"/>
          <w:lang w:val="en-GB"/>
        </w:rPr>
        <w:t xml:space="preserve">Despite these </w:t>
      </w:r>
      <w:r w:rsidR="007A0138">
        <w:rPr>
          <w:rFonts w:ascii="Arial" w:hAnsi="Arial"/>
          <w:sz w:val="20"/>
          <w:lang w:val="en-GB"/>
        </w:rPr>
        <w:t xml:space="preserve">welcome </w:t>
      </w:r>
      <w:r w:rsidRPr="00A23F37">
        <w:rPr>
          <w:rFonts w:ascii="Arial" w:hAnsi="Arial"/>
          <w:sz w:val="20"/>
          <w:lang w:val="en-GB"/>
        </w:rPr>
        <w:t>steps</w:t>
      </w:r>
      <w:r w:rsidR="00831E29">
        <w:rPr>
          <w:rFonts w:ascii="Arial" w:hAnsi="Arial"/>
          <w:sz w:val="20"/>
          <w:lang w:val="en-GB"/>
        </w:rPr>
        <w:t>,</w:t>
      </w:r>
      <w:r w:rsidRPr="00A23F37">
        <w:rPr>
          <w:rFonts w:ascii="Arial" w:hAnsi="Arial"/>
          <w:sz w:val="20"/>
          <w:lang w:val="en-GB"/>
        </w:rPr>
        <w:t xml:space="preserve"> torture</w:t>
      </w:r>
      <w:r w:rsidR="00205BB2" w:rsidRPr="00A23F37">
        <w:rPr>
          <w:rFonts w:ascii="Arial" w:hAnsi="Arial"/>
          <w:sz w:val="20"/>
          <w:lang w:val="en-GB"/>
        </w:rPr>
        <w:t xml:space="preserve"> </w:t>
      </w:r>
      <w:r w:rsidR="00831E29">
        <w:rPr>
          <w:rFonts w:ascii="Arial" w:hAnsi="Arial"/>
          <w:sz w:val="20"/>
          <w:lang w:val="en-GB"/>
        </w:rPr>
        <w:t>continues</w:t>
      </w:r>
      <w:r w:rsidR="00205BB2" w:rsidRPr="00A23F37">
        <w:rPr>
          <w:rFonts w:ascii="Arial" w:hAnsi="Arial"/>
          <w:sz w:val="20"/>
          <w:lang w:val="en-GB"/>
        </w:rPr>
        <w:t xml:space="preserve"> to be </w:t>
      </w:r>
      <w:r w:rsidR="00C515A2">
        <w:rPr>
          <w:rFonts w:ascii="Arial" w:hAnsi="Arial"/>
          <w:sz w:val="20"/>
          <w:lang w:val="en-GB"/>
        </w:rPr>
        <w:t xml:space="preserve">widespread </w:t>
      </w:r>
      <w:r w:rsidR="00831E29">
        <w:rPr>
          <w:rFonts w:ascii="Arial" w:hAnsi="Arial"/>
          <w:sz w:val="20"/>
          <w:lang w:val="en-GB"/>
        </w:rPr>
        <w:t xml:space="preserve">in </w:t>
      </w:r>
      <w:r w:rsidR="00205BB2" w:rsidRPr="00A23F37">
        <w:rPr>
          <w:rFonts w:ascii="Arial" w:hAnsi="Arial"/>
          <w:sz w:val="20"/>
          <w:lang w:val="en-GB"/>
        </w:rPr>
        <w:t>Tajikistan</w:t>
      </w:r>
      <w:r w:rsidR="00BB68C3">
        <w:rPr>
          <w:rFonts w:ascii="Arial" w:hAnsi="Arial"/>
          <w:sz w:val="20"/>
          <w:lang w:val="en-GB"/>
        </w:rPr>
        <w:t xml:space="preserve">. It mostly takes place during the first hours of detention in police </w:t>
      </w:r>
      <w:r w:rsidR="00F759E6">
        <w:rPr>
          <w:rFonts w:ascii="Arial" w:hAnsi="Arial"/>
          <w:sz w:val="20"/>
          <w:lang w:val="en-GB"/>
        </w:rPr>
        <w:t>custody and in pre-trial facilities, particularly those run by the State Committee of National Security</w:t>
      </w:r>
      <w:r w:rsidR="00205BB2" w:rsidRPr="00A23F37">
        <w:rPr>
          <w:rFonts w:ascii="Arial" w:hAnsi="Arial"/>
          <w:sz w:val="20"/>
          <w:lang w:val="en-GB"/>
        </w:rPr>
        <w:t>.</w:t>
      </w:r>
      <w:r w:rsidR="00205BB2">
        <w:rPr>
          <w:rFonts w:ascii="Arial" w:hAnsi="Arial"/>
          <w:sz w:val="20"/>
          <w:lang w:val="en-GB"/>
        </w:rPr>
        <w:t xml:space="preserve"> </w:t>
      </w:r>
      <w:r w:rsidR="00BE1ED6">
        <w:rPr>
          <w:rFonts w:ascii="Arial" w:hAnsi="Arial"/>
          <w:sz w:val="20"/>
          <w:lang w:val="de-DE"/>
        </w:rPr>
        <w:t xml:space="preserve">From 2011 to </w:t>
      </w:r>
      <w:r w:rsidR="00821C71">
        <w:rPr>
          <w:rFonts w:ascii="Arial" w:hAnsi="Arial"/>
          <w:sz w:val="20"/>
          <w:lang w:val="de-DE"/>
        </w:rPr>
        <w:t>2014</w:t>
      </w:r>
      <w:r w:rsidR="00A23F37">
        <w:rPr>
          <w:rFonts w:ascii="Arial" w:hAnsi="Arial"/>
          <w:sz w:val="20"/>
          <w:lang w:val="de-DE"/>
        </w:rPr>
        <w:t>,</w:t>
      </w:r>
      <w:r w:rsidR="00BE1ED6">
        <w:rPr>
          <w:rFonts w:ascii="Arial" w:hAnsi="Arial"/>
          <w:sz w:val="20"/>
          <w:lang w:val="de-DE"/>
        </w:rPr>
        <w:t xml:space="preserve"> members</w:t>
      </w:r>
      <w:r w:rsidR="005E1943">
        <w:rPr>
          <w:rFonts w:ascii="Arial" w:hAnsi="Arial"/>
          <w:sz w:val="20"/>
          <w:lang w:val="de-DE"/>
        </w:rPr>
        <w:t xml:space="preserve"> of the NGO </w:t>
      </w:r>
      <w:r w:rsidR="005E1943" w:rsidRPr="007B4F87">
        <w:rPr>
          <w:rFonts w:ascii="Arial" w:hAnsi="Arial"/>
          <w:sz w:val="20"/>
          <w:lang w:val="de-DE"/>
        </w:rPr>
        <w:t>Coalition against Torture in Tajikistan</w:t>
      </w:r>
      <w:r w:rsidR="00BE1ED6" w:rsidRPr="007B4F87">
        <w:rPr>
          <w:rFonts w:ascii="Arial" w:hAnsi="Arial"/>
          <w:sz w:val="20"/>
          <w:lang w:val="de-DE"/>
        </w:rPr>
        <w:t xml:space="preserve"> documented </w:t>
      </w:r>
      <w:r w:rsidR="00584886">
        <w:rPr>
          <w:rFonts w:ascii="Arial" w:hAnsi="Arial"/>
          <w:sz w:val="20"/>
          <w:lang w:val="de-DE"/>
        </w:rPr>
        <w:t>more than 100</w:t>
      </w:r>
      <w:r w:rsidR="00BE1ED6" w:rsidRPr="007B4F87">
        <w:rPr>
          <w:rFonts w:ascii="Arial" w:hAnsi="Arial"/>
          <w:sz w:val="20"/>
          <w:lang w:val="de-DE"/>
        </w:rPr>
        <w:t xml:space="preserve"> cases of </w:t>
      </w:r>
      <w:r w:rsidR="00157C27">
        <w:rPr>
          <w:rFonts w:ascii="Arial" w:hAnsi="Arial"/>
          <w:sz w:val="20"/>
          <w:lang w:val="de-DE"/>
        </w:rPr>
        <w:t xml:space="preserve">men, women and children who were </w:t>
      </w:r>
      <w:r w:rsidR="009D25B6">
        <w:rPr>
          <w:rFonts w:ascii="Arial" w:hAnsi="Arial"/>
          <w:sz w:val="20"/>
          <w:lang w:val="de-DE"/>
        </w:rPr>
        <w:t xml:space="preserve">allegedly </w:t>
      </w:r>
      <w:r w:rsidR="00157C27">
        <w:rPr>
          <w:rFonts w:ascii="Arial" w:hAnsi="Arial"/>
          <w:sz w:val="20"/>
          <w:lang w:val="de-DE"/>
        </w:rPr>
        <w:t xml:space="preserve">subjected to </w:t>
      </w:r>
      <w:r w:rsidR="00BE1ED6" w:rsidRPr="007B4F87">
        <w:rPr>
          <w:rFonts w:ascii="Arial" w:hAnsi="Arial"/>
          <w:sz w:val="20"/>
          <w:lang w:val="de-DE"/>
        </w:rPr>
        <w:t xml:space="preserve">torture or other ill-treatment. </w:t>
      </w:r>
      <w:r w:rsidR="007A0138">
        <w:rPr>
          <w:rFonts w:ascii="Arial" w:hAnsi="Arial"/>
          <w:sz w:val="20"/>
          <w:lang w:val="de-DE"/>
        </w:rPr>
        <w:t>Only in a small number of these cases, official i</w:t>
      </w:r>
      <w:r w:rsidR="002139DF">
        <w:rPr>
          <w:rFonts w:ascii="Arial" w:hAnsi="Arial"/>
          <w:sz w:val="20"/>
          <w:lang w:val="de-DE"/>
        </w:rPr>
        <w:t xml:space="preserve">nvestigations were opened, and in many cases </w:t>
      </w:r>
      <w:r w:rsidR="00EE3983">
        <w:rPr>
          <w:rFonts w:ascii="Arial" w:hAnsi="Arial"/>
          <w:sz w:val="20"/>
          <w:lang w:val="de-DE"/>
        </w:rPr>
        <w:t xml:space="preserve">-- </w:t>
      </w:r>
      <w:r w:rsidR="00A674AE">
        <w:rPr>
          <w:rFonts w:ascii="Arial" w:hAnsi="Arial"/>
          <w:sz w:val="20"/>
          <w:lang w:val="de-DE"/>
        </w:rPr>
        <w:t>whilst the incidence of torture or other ill-treatment would appear to have been confirmed, at least partly -</w:t>
      </w:r>
      <w:r w:rsidR="00EE3983">
        <w:rPr>
          <w:rFonts w:ascii="Arial" w:hAnsi="Arial"/>
          <w:sz w:val="20"/>
          <w:lang w:val="de-DE"/>
        </w:rPr>
        <w:t>-</w:t>
      </w:r>
      <w:r w:rsidR="00A674AE">
        <w:rPr>
          <w:rFonts w:ascii="Arial" w:hAnsi="Arial"/>
          <w:sz w:val="20"/>
          <w:lang w:val="de-DE"/>
        </w:rPr>
        <w:t xml:space="preserve"> </w:t>
      </w:r>
      <w:r w:rsidR="002139DF">
        <w:rPr>
          <w:rFonts w:ascii="Arial" w:hAnsi="Arial"/>
          <w:sz w:val="20"/>
          <w:lang w:val="de-DE"/>
        </w:rPr>
        <w:t>only disciplinary proceedings have been</w:t>
      </w:r>
      <w:r w:rsidR="00831E29">
        <w:rPr>
          <w:rFonts w:ascii="Arial" w:hAnsi="Arial"/>
          <w:sz w:val="20"/>
          <w:lang w:val="de-DE"/>
        </w:rPr>
        <w:t xml:space="preserve"> imposed. </w:t>
      </w:r>
      <w:r w:rsidR="00900C65">
        <w:rPr>
          <w:rFonts w:ascii="Arial" w:hAnsi="Arial"/>
          <w:sz w:val="20"/>
          <w:lang w:val="fr-FR"/>
        </w:rPr>
        <w:t xml:space="preserve">It is believed that many victims of torture did not file complaints </w:t>
      </w:r>
      <w:r w:rsidR="00897038">
        <w:rPr>
          <w:rFonts w:ascii="Arial" w:hAnsi="Arial"/>
          <w:sz w:val="20"/>
          <w:lang w:val="fr-FR"/>
        </w:rPr>
        <w:t xml:space="preserve">for fear of reprisals. </w:t>
      </w:r>
    </w:p>
    <w:p w:rsidR="00205BB2" w:rsidRDefault="00205BB2" w:rsidP="008B7D16">
      <w:pPr>
        <w:jc w:val="both"/>
        <w:rPr>
          <w:rFonts w:ascii="Arial" w:hAnsi="Arial"/>
          <w:sz w:val="20"/>
          <w:lang w:val="en-GB"/>
        </w:rPr>
      </w:pPr>
    </w:p>
    <w:p w:rsidR="004E78C8" w:rsidRDefault="004723CF" w:rsidP="008B7D16">
      <w:pPr>
        <w:jc w:val="both"/>
        <w:rPr>
          <w:rFonts w:ascii="Arial" w:hAnsi="Arial"/>
          <w:sz w:val="20"/>
          <w:lang w:val="en-GB"/>
        </w:rPr>
      </w:pPr>
      <w:r>
        <w:rPr>
          <w:rFonts w:ascii="Arial" w:hAnsi="Arial"/>
          <w:sz w:val="20"/>
          <w:lang w:val="en-GB"/>
        </w:rPr>
        <w:t>T</w:t>
      </w:r>
      <w:r w:rsidR="00C055B6">
        <w:rPr>
          <w:rFonts w:ascii="Arial" w:hAnsi="Arial"/>
          <w:sz w:val="20"/>
          <w:lang w:val="en-GB"/>
        </w:rPr>
        <w:t xml:space="preserve">he </w:t>
      </w:r>
      <w:r w:rsidR="00A674AE">
        <w:rPr>
          <w:rFonts w:ascii="Arial" w:hAnsi="Arial"/>
          <w:sz w:val="20"/>
          <w:lang w:val="en-GB"/>
        </w:rPr>
        <w:t xml:space="preserve">Tajikistani </w:t>
      </w:r>
      <w:r w:rsidR="00C055B6">
        <w:rPr>
          <w:rFonts w:ascii="Arial" w:hAnsi="Arial"/>
          <w:sz w:val="20"/>
          <w:lang w:val="en-GB"/>
        </w:rPr>
        <w:t xml:space="preserve">authorities </w:t>
      </w:r>
      <w:r w:rsidR="00933FA2">
        <w:rPr>
          <w:rFonts w:ascii="Arial" w:hAnsi="Arial"/>
          <w:sz w:val="20"/>
          <w:lang w:val="en-GB"/>
        </w:rPr>
        <w:t xml:space="preserve">must </w:t>
      </w:r>
      <w:r w:rsidR="00A674AE">
        <w:rPr>
          <w:rFonts w:ascii="Arial" w:hAnsi="Arial"/>
          <w:sz w:val="20"/>
          <w:lang w:val="en-GB"/>
        </w:rPr>
        <w:t xml:space="preserve">consistently </w:t>
      </w:r>
      <w:r w:rsidR="00933FA2">
        <w:rPr>
          <w:rFonts w:ascii="Arial" w:hAnsi="Arial"/>
          <w:sz w:val="20"/>
          <w:lang w:val="en-GB"/>
        </w:rPr>
        <w:t xml:space="preserve">implement </w:t>
      </w:r>
      <w:r w:rsidR="00791281">
        <w:rPr>
          <w:rFonts w:ascii="Arial" w:hAnsi="Arial"/>
          <w:sz w:val="20"/>
          <w:lang w:val="en-GB"/>
        </w:rPr>
        <w:t xml:space="preserve">further measures aimed at </w:t>
      </w:r>
      <w:r w:rsidR="00933FA2">
        <w:rPr>
          <w:rFonts w:ascii="Arial" w:hAnsi="Arial"/>
          <w:sz w:val="20"/>
          <w:lang w:val="en-GB"/>
        </w:rPr>
        <w:t xml:space="preserve">preventing, investigating and eradicating all </w:t>
      </w:r>
      <w:r w:rsidR="0054467D">
        <w:rPr>
          <w:rFonts w:ascii="Arial" w:hAnsi="Arial"/>
          <w:sz w:val="20"/>
          <w:lang w:val="en-GB"/>
        </w:rPr>
        <w:t xml:space="preserve">incidents of torture and </w:t>
      </w:r>
      <w:r w:rsidR="00933FA2">
        <w:rPr>
          <w:rFonts w:ascii="Arial" w:hAnsi="Arial"/>
          <w:sz w:val="20"/>
          <w:lang w:val="en-GB"/>
        </w:rPr>
        <w:t xml:space="preserve">ill-treatment </w:t>
      </w:r>
      <w:r w:rsidR="0054467D">
        <w:rPr>
          <w:rFonts w:ascii="Arial" w:hAnsi="Arial"/>
          <w:sz w:val="20"/>
          <w:lang w:val="en-GB"/>
        </w:rPr>
        <w:t>in Tajikistan.</w:t>
      </w:r>
    </w:p>
    <w:p w:rsidR="004E78C8" w:rsidRDefault="004E78C8" w:rsidP="008B7D16">
      <w:pPr>
        <w:jc w:val="both"/>
        <w:rPr>
          <w:rFonts w:ascii="Arial" w:hAnsi="Arial"/>
          <w:sz w:val="20"/>
          <w:lang w:val="en-GB"/>
        </w:rPr>
      </w:pPr>
    </w:p>
    <w:p w:rsidR="005068B4" w:rsidRPr="001B2A88" w:rsidRDefault="006A6A3F" w:rsidP="008B7D16">
      <w:pPr>
        <w:jc w:val="both"/>
        <w:rPr>
          <w:rFonts w:ascii="Arial" w:hAnsi="Arial"/>
          <w:sz w:val="20"/>
          <w:lang w:val="en-GB"/>
        </w:rPr>
      </w:pPr>
      <w:r>
        <w:rPr>
          <w:rFonts w:ascii="Arial" w:hAnsi="Arial"/>
          <w:sz w:val="20"/>
          <w:lang w:val="en-GB"/>
        </w:rPr>
        <w:t xml:space="preserve">This briefing summarizes our main concerns and recommendations that we </w:t>
      </w:r>
      <w:r w:rsidR="004723CF">
        <w:rPr>
          <w:rFonts w:ascii="Arial" w:hAnsi="Arial"/>
          <w:sz w:val="20"/>
          <w:lang w:val="en-GB"/>
        </w:rPr>
        <w:t>urge</w:t>
      </w:r>
      <w:r>
        <w:rPr>
          <w:rFonts w:ascii="Arial" w:hAnsi="Arial"/>
          <w:sz w:val="20"/>
          <w:lang w:val="en-GB"/>
        </w:rPr>
        <w:t xml:space="preserve"> the authorities </w:t>
      </w:r>
      <w:r w:rsidR="004723CF">
        <w:rPr>
          <w:rFonts w:ascii="Arial" w:hAnsi="Arial"/>
          <w:sz w:val="20"/>
          <w:lang w:val="en-GB"/>
        </w:rPr>
        <w:t>to</w:t>
      </w:r>
      <w:r>
        <w:rPr>
          <w:rFonts w:ascii="Arial" w:hAnsi="Arial"/>
          <w:sz w:val="20"/>
          <w:lang w:val="en-GB"/>
        </w:rPr>
        <w:t xml:space="preserve"> prioritize and implement as a matter of urgency.</w:t>
      </w:r>
    </w:p>
    <w:p w:rsidR="00492D4E" w:rsidRPr="00492D4E" w:rsidRDefault="00492D4E" w:rsidP="0040506F">
      <w:pPr>
        <w:pStyle w:val="1"/>
      </w:pPr>
      <w:bookmarkStart w:id="2" w:name="_Toc285095803"/>
      <w:r w:rsidRPr="00492D4E">
        <w:t>L</w:t>
      </w:r>
      <w:r w:rsidR="00174787">
        <w:t>EGAL SAFEGUARDS NEED TO BE STRENGTHENED AND</w:t>
      </w:r>
      <w:r w:rsidR="00A674AE">
        <w:rPr>
          <w:lang w:val="en-GB"/>
        </w:rPr>
        <w:t xml:space="preserve"> FULLY</w:t>
      </w:r>
      <w:r w:rsidR="00174787">
        <w:t xml:space="preserve"> IMPLEMENTED</w:t>
      </w:r>
      <w:bookmarkEnd w:id="2"/>
    </w:p>
    <w:p w:rsidR="0040506F" w:rsidRDefault="0040506F" w:rsidP="008B7D16">
      <w:pPr>
        <w:jc w:val="both"/>
        <w:rPr>
          <w:rFonts w:ascii="Arial" w:hAnsi="Arial"/>
          <w:sz w:val="20"/>
        </w:rPr>
      </w:pPr>
    </w:p>
    <w:p w:rsidR="00080E21" w:rsidRDefault="00205BB2" w:rsidP="008B7D16">
      <w:pPr>
        <w:jc w:val="both"/>
        <w:rPr>
          <w:rFonts w:ascii="Arial" w:hAnsi="Arial"/>
          <w:sz w:val="20"/>
          <w:lang w:val="en-GB"/>
        </w:rPr>
      </w:pPr>
      <w:r>
        <w:rPr>
          <w:rFonts w:ascii="Arial" w:hAnsi="Arial"/>
          <w:sz w:val="20"/>
        </w:rPr>
        <w:t>T</w:t>
      </w:r>
      <w:r>
        <w:rPr>
          <w:rFonts w:ascii="Arial" w:hAnsi="Arial"/>
          <w:sz w:val="20"/>
          <w:lang w:val="en-GB"/>
        </w:rPr>
        <w:t xml:space="preserve">orture in Tajikistan </w:t>
      </w:r>
      <w:r w:rsidR="00A674AE">
        <w:rPr>
          <w:rFonts w:ascii="Arial" w:hAnsi="Arial"/>
          <w:sz w:val="20"/>
          <w:lang w:val="en-GB"/>
        </w:rPr>
        <w:t xml:space="preserve">ordinarily </w:t>
      </w:r>
      <w:r>
        <w:rPr>
          <w:rFonts w:ascii="Arial" w:hAnsi="Arial"/>
          <w:sz w:val="20"/>
          <w:lang w:val="en-GB"/>
        </w:rPr>
        <w:t xml:space="preserve">takes place during the first hours of detention when detainees are in many cases </w:t>
      </w:r>
      <w:r w:rsidR="00A674AE">
        <w:rPr>
          <w:rFonts w:ascii="Arial" w:hAnsi="Arial"/>
          <w:sz w:val="20"/>
          <w:lang w:val="en-GB"/>
        </w:rPr>
        <w:t xml:space="preserve">de facto </w:t>
      </w:r>
      <w:r>
        <w:rPr>
          <w:rFonts w:ascii="Arial" w:hAnsi="Arial"/>
          <w:sz w:val="20"/>
          <w:lang w:val="en-GB"/>
        </w:rPr>
        <w:t xml:space="preserve">held incommunicado. </w:t>
      </w:r>
      <w:r w:rsidR="00146BCB">
        <w:rPr>
          <w:rFonts w:ascii="Arial" w:hAnsi="Arial"/>
          <w:sz w:val="20"/>
          <w:lang w:val="en-GB"/>
        </w:rPr>
        <w:t>We believe that b</w:t>
      </w:r>
      <w:r>
        <w:rPr>
          <w:rFonts w:ascii="Arial" w:hAnsi="Arial"/>
          <w:sz w:val="20"/>
          <w:lang w:val="en-GB"/>
        </w:rPr>
        <w:t xml:space="preserve">y strengthening </w:t>
      </w:r>
      <w:r w:rsidR="004D7179">
        <w:rPr>
          <w:rFonts w:ascii="Arial" w:hAnsi="Arial"/>
          <w:sz w:val="20"/>
          <w:lang w:val="en-GB"/>
        </w:rPr>
        <w:t xml:space="preserve">and fully implementing </w:t>
      </w:r>
      <w:r w:rsidR="00D940E6">
        <w:rPr>
          <w:rFonts w:ascii="Arial" w:hAnsi="Arial"/>
          <w:sz w:val="20"/>
          <w:lang w:val="en-GB"/>
        </w:rPr>
        <w:t>fundamental</w:t>
      </w:r>
      <w:r>
        <w:rPr>
          <w:rFonts w:ascii="Arial" w:hAnsi="Arial"/>
          <w:sz w:val="20"/>
          <w:lang w:val="en-GB"/>
        </w:rPr>
        <w:t xml:space="preserve"> safeguards protecting detainees in </w:t>
      </w:r>
      <w:r w:rsidR="00A674AE">
        <w:rPr>
          <w:rFonts w:ascii="Arial" w:hAnsi="Arial"/>
          <w:sz w:val="20"/>
          <w:lang w:val="en-GB"/>
        </w:rPr>
        <w:t xml:space="preserve">police custody and </w:t>
      </w:r>
      <w:r>
        <w:rPr>
          <w:rFonts w:ascii="Arial" w:hAnsi="Arial"/>
          <w:sz w:val="20"/>
          <w:lang w:val="en-GB"/>
        </w:rPr>
        <w:t xml:space="preserve">pre-trial detention the authorities can </w:t>
      </w:r>
      <w:r w:rsidR="00146BCB">
        <w:rPr>
          <w:rFonts w:ascii="Arial" w:hAnsi="Arial"/>
          <w:sz w:val="20"/>
          <w:lang w:val="en-GB"/>
        </w:rPr>
        <w:t>significantly reduce incidents of torture and other ill-treatment.</w:t>
      </w:r>
    </w:p>
    <w:p w:rsidR="00080E21" w:rsidRDefault="00080E21" w:rsidP="008B7D16">
      <w:pPr>
        <w:jc w:val="both"/>
        <w:rPr>
          <w:rFonts w:ascii="Arial" w:hAnsi="Arial"/>
          <w:sz w:val="20"/>
          <w:lang w:val="en-GB"/>
        </w:rPr>
      </w:pPr>
    </w:p>
    <w:p w:rsidR="00080E21" w:rsidRPr="00080E21" w:rsidRDefault="00080E21" w:rsidP="008B7D16">
      <w:pPr>
        <w:jc w:val="both"/>
        <w:rPr>
          <w:rFonts w:ascii="Arial" w:hAnsi="Arial"/>
          <w:sz w:val="20"/>
          <w:u w:val="single"/>
          <w:lang w:val="en-GB"/>
        </w:rPr>
      </w:pPr>
      <w:r w:rsidRPr="00080E21">
        <w:rPr>
          <w:rFonts w:ascii="Arial" w:hAnsi="Arial"/>
          <w:sz w:val="20"/>
          <w:u w:val="single"/>
          <w:lang w:val="en-GB"/>
        </w:rPr>
        <w:t>Defin</w:t>
      </w:r>
      <w:r>
        <w:rPr>
          <w:rFonts w:ascii="Arial" w:hAnsi="Arial"/>
          <w:sz w:val="20"/>
          <w:u w:val="single"/>
          <w:lang w:val="en-GB"/>
        </w:rPr>
        <w:t>ing</w:t>
      </w:r>
      <w:r w:rsidR="00A674AE">
        <w:rPr>
          <w:rFonts w:ascii="Arial" w:hAnsi="Arial"/>
          <w:sz w:val="20"/>
          <w:u w:val="single"/>
          <w:lang w:val="en-GB"/>
        </w:rPr>
        <w:t xml:space="preserve"> in law</w:t>
      </w:r>
      <w:r w:rsidRPr="00080E21">
        <w:rPr>
          <w:rFonts w:ascii="Arial" w:hAnsi="Arial"/>
          <w:sz w:val="20"/>
          <w:u w:val="single"/>
          <w:lang w:val="en-GB"/>
        </w:rPr>
        <w:t xml:space="preserve"> </w:t>
      </w:r>
      <w:r w:rsidR="00A674AE">
        <w:rPr>
          <w:rFonts w:ascii="Arial" w:hAnsi="Arial"/>
          <w:sz w:val="20"/>
          <w:u w:val="single"/>
          <w:lang w:val="en-GB"/>
        </w:rPr>
        <w:t xml:space="preserve">in accordance with international human rights standards </w:t>
      </w:r>
      <w:r w:rsidRPr="00080E21">
        <w:rPr>
          <w:rFonts w:ascii="Arial" w:hAnsi="Arial"/>
          <w:sz w:val="20"/>
          <w:u w:val="single"/>
          <w:lang w:val="en-GB"/>
        </w:rPr>
        <w:t>the moment when a person becomes a detainee</w:t>
      </w:r>
    </w:p>
    <w:p w:rsidR="00394FBD" w:rsidRDefault="00080E21" w:rsidP="008B7D16">
      <w:pPr>
        <w:jc w:val="both"/>
        <w:rPr>
          <w:rFonts w:ascii="Arial" w:hAnsi="Arial"/>
          <w:sz w:val="20"/>
        </w:rPr>
      </w:pPr>
      <w:r>
        <w:rPr>
          <w:rFonts w:ascii="Arial" w:hAnsi="Arial"/>
          <w:sz w:val="20"/>
          <w:lang w:val="fr-FR"/>
        </w:rPr>
        <w:t xml:space="preserve">International human rights law clearly states that a person is considered a detainee as soon as he or she is </w:t>
      </w:r>
      <w:r>
        <w:rPr>
          <w:rFonts w:ascii="Arial" w:hAnsi="Arial"/>
          <w:sz w:val="20"/>
        </w:rPr>
        <w:t>“depriv(ed) of liberty (…) in a public or private custodial setting which that person is not permitted to leave at will by order o</w:t>
      </w:r>
      <w:r w:rsidR="00090B3A">
        <w:rPr>
          <w:rFonts w:ascii="Arial" w:hAnsi="Arial"/>
          <w:sz w:val="20"/>
        </w:rPr>
        <w:t>f</w:t>
      </w:r>
      <w:r>
        <w:rPr>
          <w:rFonts w:ascii="Arial" w:hAnsi="Arial"/>
          <w:sz w:val="20"/>
        </w:rPr>
        <w:t xml:space="preserve"> any judicial, adm</w:t>
      </w:r>
      <w:r w:rsidR="00266D1B">
        <w:rPr>
          <w:rFonts w:ascii="Arial" w:hAnsi="Arial"/>
          <w:sz w:val="20"/>
        </w:rPr>
        <w:t>inistrative or other authority”</w:t>
      </w:r>
      <w:r>
        <w:rPr>
          <w:rFonts w:ascii="Arial" w:hAnsi="Arial"/>
          <w:sz w:val="20"/>
        </w:rPr>
        <w:t xml:space="preserve"> (e.g. Art. 4(2)</w:t>
      </w:r>
      <w:r w:rsidR="00F83CF5">
        <w:rPr>
          <w:rFonts w:ascii="Arial" w:hAnsi="Arial"/>
          <w:sz w:val="20"/>
        </w:rPr>
        <w:t xml:space="preserve"> of the Optional Protocol </w:t>
      </w:r>
      <w:r>
        <w:rPr>
          <w:rFonts w:ascii="Arial" w:hAnsi="Arial"/>
          <w:sz w:val="20"/>
        </w:rPr>
        <w:t xml:space="preserve"> </w:t>
      </w:r>
      <w:r w:rsidR="00F83CF5">
        <w:rPr>
          <w:rFonts w:ascii="Arial" w:hAnsi="Arial"/>
          <w:sz w:val="20"/>
        </w:rPr>
        <w:t>to the Convention against Torture</w:t>
      </w:r>
      <w:r>
        <w:rPr>
          <w:rFonts w:ascii="Arial" w:hAnsi="Arial"/>
          <w:sz w:val="20"/>
        </w:rPr>
        <w:t xml:space="preserve">). </w:t>
      </w:r>
      <w:r w:rsidR="0054467D" w:rsidRPr="00790B01">
        <w:rPr>
          <w:rFonts w:ascii="Arial" w:hAnsi="Arial"/>
          <w:sz w:val="20"/>
          <w:lang w:val="en-GB"/>
        </w:rPr>
        <w:t xml:space="preserve">Safeguards must then be in place to provide protection from torture and other ill-treatment </w:t>
      </w:r>
      <w:r w:rsidR="00933FA2" w:rsidRPr="00790B01">
        <w:rPr>
          <w:rFonts w:ascii="Arial" w:hAnsi="Arial"/>
          <w:sz w:val="20"/>
          <w:lang w:val="en-GB"/>
        </w:rPr>
        <w:t>under any kind of detention</w:t>
      </w:r>
      <w:r w:rsidR="0054467D" w:rsidRPr="00790B01">
        <w:rPr>
          <w:rFonts w:ascii="Arial" w:hAnsi="Arial"/>
          <w:sz w:val="20"/>
          <w:lang w:val="en-GB"/>
        </w:rPr>
        <w:t xml:space="preserve">. </w:t>
      </w:r>
    </w:p>
    <w:p w:rsidR="00394FBD" w:rsidRDefault="00394FBD" w:rsidP="008B7D16">
      <w:pPr>
        <w:jc w:val="both"/>
        <w:rPr>
          <w:rFonts w:ascii="Arial" w:hAnsi="Arial"/>
          <w:sz w:val="20"/>
        </w:rPr>
      </w:pPr>
    </w:p>
    <w:p w:rsidR="00872B5F" w:rsidRDefault="00A674AE" w:rsidP="008B7D16">
      <w:pPr>
        <w:jc w:val="both"/>
        <w:rPr>
          <w:rFonts w:ascii="Arial" w:hAnsi="Arial"/>
          <w:sz w:val="20"/>
        </w:rPr>
      </w:pPr>
      <w:r>
        <w:rPr>
          <w:rFonts w:ascii="Arial" w:hAnsi="Arial"/>
          <w:sz w:val="20"/>
        </w:rPr>
        <w:t xml:space="preserve">However, </w:t>
      </w:r>
      <w:r w:rsidR="0054467D">
        <w:rPr>
          <w:rFonts w:ascii="Arial" w:hAnsi="Arial"/>
          <w:sz w:val="20"/>
        </w:rPr>
        <w:t xml:space="preserve">Tajikistani </w:t>
      </w:r>
      <w:r w:rsidR="001420EF">
        <w:rPr>
          <w:rFonts w:ascii="Arial" w:hAnsi="Arial"/>
          <w:sz w:val="20"/>
        </w:rPr>
        <w:t>legislation</w:t>
      </w:r>
      <w:r w:rsidR="0041618B">
        <w:rPr>
          <w:rFonts w:ascii="Arial" w:hAnsi="Arial"/>
          <w:sz w:val="20"/>
        </w:rPr>
        <w:t xml:space="preserve"> </w:t>
      </w:r>
      <w:r w:rsidR="001420EF">
        <w:rPr>
          <w:rFonts w:ascii="Arial" w:hAnsi="Arial"/>
          <w:sz w:val="20"/>
        </w:rPr>
        <w:t>does not follow th</w:t>
      </w:r>
      <w:r w:rsidR="00394FBD">
        <w:rPr>
          <w:rFonts w:ascii="Arial" w:hAnsi="Arial"/>
          <w:sz w:val="20"/>
        </w:rPr>
        <w:t>e above</w:t>
      </w:r>
      <w:r w:rsidR="001420EF">
        <w:rPr>
          <w:rFonts w:ascii="Arial" w:hAnsi="Arial"/>
          <w:sz w:val="20"/>
        </w:rPr>
        <w:t xml:space="preserve"> definition and is ambiguous a</w:t>
      </w:r>
      <w:r w:rsidR="00394FBD">
        <w:rPr>
          <w:rFonts w:ascii="Arial" w:hAnsi="Arial"/>
          <w:sz w:val="20"/>
        </w:rPr>
        <w:t>s to</w:t>
      </w:r>
      <w:r w:rsidR="001420EF">
        <w:rPr>
          <w:rFonts w:ascii="Arial" w:hAnsi="Arial"/>
          <w:sz w:val="20"/>
        </w:rPr>
        <w:t xml:space="preserve"> </w:t>
      </w:r>
      <w:r w:rsidR="001420EF" w:rsidRPr="008919CB">
        <w:rPr>
          <w:rFonts w:ascii="Arial" w:hAnsi="Arial"/>
          <w:b/>
          <w:sz w:val="20"/>
        </w:rPr>
        <w:t>when a person is considered a detainee</w:t>
      </w:r>
      <w:r w:rsidR="001420EF">
        <w:rPr>
          <w:rFonts w:ascii="Arial" w:hAnsi="Arial"/>
          <w:sz w:val="20"/>
        </w:rPr>
        <w:t>. In practice, law enforcement agencies and court</w:t>
      </w:r>
      <w:r w:rsidR="009C64DE">
        <w:rPr>
          <w:rFonts w:ascii="Arial" w:hAnsi="Arial"/>
          <w:sz w:val="20"/>
        </w:rPr>
        <w:t>s</w:t>
      </w:r>
      <w:r w:rsidR="001420EF">
        <w:rPr>
          <w:rFonts w:ascii="Arial" w:hAnsi="Arial"/>
          <w:sz w:val="20"/>
        </w:rPr>
        <w:t xml:space="preserve"> typically consider a person a detainee when the </w:t>
      </w:r>
      <w:r w:rsidR="00266D1B">
        <w:rPr>
          <w:rFonts w:ascii="Arial" w:hAnsi="Arial"/>
          <w:sz w:val="20"/>
        </w:rPr>
        <w:t>deten</w:t>
      </w:r>
      <w:r w:rsidR="001420EF">
        <w:rPr>
          <w:rFonts w:ascii="Arial" w:hAnsi="Arial"/>
          <w:sz w:val="20"/>
        </w:rPr>
        <w:t>tion record is drawn up. This may be several hours</w:t>
      </w:r>
      <w:r w:rsidR="0054467D">
        <w:rPr>
          <w:rFonts w:ascii="Arial" w:hAnsi="Arial"/>
          <w:sz w:val="20"/>
        </w:rPr>
        <w:t xml:space="preserve">, </w:t>
      </w:r>
      <w:r w:rsidR="00626931">
        <w:rPr>
          <w:rFonts w:ascii="Arial" w:hAnsi="Arial"/>
          <w:sz w:val="20"/>
        </w:rPr>
        <w:t xml:space="preserve">or even several days, </w:t>
      </w:r>
      <w:r w:rsidR="001420EF">
        <w:rPr>
          <w:rFonts w:ascii="Arial" w:hAnsi="Arial"/>
          <w:sz w:val="20"/>
        </w:rPr>
        <w:t xml:space="preserve">after the </w:t>
      </w:r>
      <w:r>
        <w:rPr>
          <w:rFonts w:ascii="Arial" w:hAnsi="Arial"/>
          <w:sz w:val="20"/>
        </w:rPr>
        <w:t xml:space="preserve">de facto </w:t>
      </w:r>
      <w:r w:rsidR="001420EF">
        <w:rPr>
          <w:rFonts w:ascii="Arial" w:hAnsi="Arial"/>
          <w:sz w:val="20"/>
        </w:rPr>
        <w:t xml:space="preserve">arrest. </w:t>
      </w:r>
      <w:r w:rsidR="000836D8">
        <w:rPr>
          <w:rFonts w:ascii="Arial" w:hAnsi="Arial"/>
          <w:sz w:val="20"/>
        </w:rPr>
        <w:t xml:space="preserve">As a result, </w:t>
      </w:r>
      <w:r w:rsidR="00626931">
        <w:rPr>
          <w:rFonts w:ascii="Arial" w:hAnsi="Arial"/>
          <w:sz w:val="20"/>
        </w:rPr>
        <w:t xml:space="preserve">during this time </w:t>
      </w:r>
      <w:r w:rsidR="000836D8">
        <w:rPr>
          <w:rFonts w:ascii="Arial" w:hAnsi="Arial"/>
          <w:sz w:val="20"/>
        </w:rPr>
        <w:t>detainees typical</w:t>
      </w:r>
      <w:r w:rsidR="004D169F">
        <w:rPr>
          <w:rFonts w:ascii="Arial" w:hAnsi="Arial"/>
          <w:sz w:val="20"/>
        </w:rPr>
        <w:t xml:space="preserve">ly have no access to </w:t>
      </w:r>
      <w:r w:rsidR="006D0A07">
        <w:rPr>
          <w:rFonts w:ascii="Arial" w:hAnsi="Arial"/>
          <w:sz w:val="20"/>
        </w:rPr>
        <w:t xml:space="preserve">any of </w:t>
      </w:r>
      <w:r w:rsidR="004D169F">
        <w:rPr>
          <w:rFonts w:ascii="Arial" w:hAnsi="Arial"/>
          <w:sz w:val="20"/>
        </w:rPr>
        <w:t xml:space="preserve">the legal </w:t>
      </w:r>
      <w:r w:rsidR="000836D8">
        <w:rPr>
          <w:rFonts w:ascii="Arial" w:hAnsi="Arial"/>
          <w:sz w:val="20"/>
        </w:rPr>
        <w:t>safeguards enshri</w:t>
      </w:r>
      <w:r w:rsidR="004D717B">
        <w:rPr>
          <w:rFonts w:ascii="Arial" w:hAnsi="Arial"/>
          <w:sz w:val="20"/>
        </w:rPr>
        <w:t xml:space="preserve">ned in Tajikistani legislation, </w:t>
      </w:r>
      <w:r w:rsidR="00626931" w:rsidRPr="00790B01">
        <w:rPr>
          <w:rFonts w:ascii="Arial" w:hAnsi="Arial"/>
          <w:sz w:val="20"/>
          <w:lang w:val="en-GB"/>
        </w:rPr>
        <w:t>including access to their family, a lawyer and medical attention</w:t>
      </w:r>
      <w:r w:rsidR="004D717B" w:rsidRPr="00790B01">
        <w:rPr>
          <w:rFonts w:ascii="Arial" w:hAnsi="Arial"/>
          <w:sz w:val="20"/>
          <w:lang w:val="en-GB"/>
        </w:rPr>
        <w:t xml:space="preserve">. </w:t>
      </w:r>
    </w:p>
    <w:p w:rsidR="004D169F" w:rsidRDefault="004D169F" w:rsidP="008B7D16">
      <w:pPr>
        <w:jc w:val="both"/>
        <w:rPr>
          <w:rFonts w:ascii="Arial" w:hAnsi="Arial"/>
          <w:sz w:val="20"/>
        </w:rPr>
      </w:pPr>
    </w:p>
    <w:p w:rsidR="004D169F" w:rsidRPr="004D169F" w:rsidRDefault="004D717B" w:rsidP="008B7D16">
      <w:pPr>
        <w:jc w:val="both"/>
        <w:rPr>
          <w:rFonts w:ascii="Arial" w:hAnsi="Arial"/>
          <w:sz w:val="20"/>
        </w:rPr>
      </w:pPr>
      <w:r w:rsidRPr="00790B01">
        <w:rPr>
          <w:rFonts w:ascii="Arial" w:hAnsi="Arial"/>
          <w:sz w:val="20"/>
          <w:lang w:val="en-GB"/>
        </w:rPr>
        <w:t>Police also often apprehend people for administrative offences as a pretext for keeping them in custody for five to 15 days.</w:t>
      </w:r>
      <w:r w:rsidR="008E5E9D">
        <w:rPr>
          <w:rFonts w:ascii="Arial" w:hAnsi="Arial"/>
          <w:sz w:val="20"/>
          <w:lang w:val="en-GB"/>
        </w:rPr>
        <w:t xml:space="preserve"> </w:t>
      </w:r>
      <w:r w:rsidR="000D1F31">
        <w:rPr>
          <w:rFonts w:ascii="Arial" w:hAnsi="Arial"/>
          <w:sz w:val="20"/>
          <w:lang w:val="en-GB"/>
        </w:rPr>
        <w:t xml:space="preserve">In Tajikistani legislation the legal safeguards pertaining to those detained on criminal charges are stronger, and do not apply fully to those detained on administrative charges. </w:t>
      </w:r>
      <w:r w:rsidR="000D1F31" w:rsidRPr="00790B01">
        <w:rPr>
          <w:rFonts w:ascii="Arial" w:hAnsi="Arial"/>
          <w:sz w:val="20"/>
          <w:lang w:val="en-GB"/>
        </w:rPr>
        <w:t xml:space="preserve"> </w:t>
      </w:r>
      <w:r w:rsidRPr="00790B01">
        <w:rPr>
          <w:rFonts w:ascii="Arial" w:hAnsi="Arial"/>
          <w:sz w:val="20"/>
          <w:lang w:val="en-GB"/>
        </w:rPr>
        <w:t xml:space="preserve">Another way of detaining people without granting them the protection of </w:t>
      </w:r>
      <w:r w:rsidR="00AD42D8">
        <w:rPr>
          <w:rFonts w:ascii="Arial" w:hAnsi="Arial"/>
          <w:sz w:val="20"/>
        </w:rPr>
        <w:t xml:space="preserve">legal safeguards is the frequent </w:t>
      </w:r>
      <w:r w:rsidR="00F6345E">
        <w:rPr>
          <w:rFonts w:ascii="Arial" w:hAnsi="Arial"/>
          <w:sz w:val="20"/>
        </w:rPr>
        <w:t xml:space="preserve">police </w:t>
      </w:r>
      <w:r w:rsidR="00AD42D8">
        <w:rPr>
          <w:rFonts w:ascii="Arial" w:hAnsi="Arial"/>
          <w:sz w:val="20"/>
        </w:rPr>
        <w:t xml:space="preserve">practice of summoning people </w:t>
      </w:r>
      <w:r w:rsidR="00F6345E">
        <w:rPr>
          <w:rFonts w:ascii="Arial" w:hAnsi="Arial"/>
          <w:sz w:val="20"/>
        </w:rPr>
        <w:t>as “</w:t>
      </w:r>
      <w:r w:rsidR="00AD42D8">
        <w:rPr>
          <w:rFonts w:ascii="Arial" w:hAnsi="Arial"/>
          <w:sz w:val="20"/>
        </w:rPr>
        <w:t>witnesses</w:t>
      </w:r>
      <w:r w:rsidR="00F6345E">
        <w:rPr>
          <w:rFonts w:ascii="Arial" w:hAnsi="Arial"/>
          <w:sz w:val="20"/>
        </w:rPr>
        <w:t>”</w:t>
      </w:r>
      <w:r w:rsidR="00AD42D8">
        <w:rPr>
          <w:rFonts w:ascii="Arial" w:hAnsi="Arial"/>
          <w:sz w:val="20"/>
        </w:rPr>
        <w:t xml:space="preserve"> or simply calling them in for “</w:t>
      </w:r>
      <w:r w:rsidR="00AD42D8">
        <w:rPr>
          <w:rFonts w:ascii="Arial" w:hAnsi="Arial"/>
          <w:sz w:val="20"/>
          <w:lang w:val="en-GB"/>
        </w:rPr>
        <w:t xml:space="preserve">a conversation”. </w:t>
      </w:r>
      <w:r w:rsidR="006B3565">
        <w:rPr>
          <w:rFonts w:ascii="Arial" w:hAnsi="Arial"/>
          <w:sz w:val="20"/>
        </w:rPr>
        <w:t>Often</w:t>
      </w:r>
      <w:r w:rsidR="00AD42D8">
        <w:rPr>
          <w:rFonts w:ascii="Arial" w:hAnsi="Arial"/>
          <w:sz w:val="20"/>
        </w:rPr>
        <w:t xml:space="preserve"> police</w:t>
      </w:r>
      <w:r>
        <w:rPr>
          <w:rFonts w:ascii="Arial" w:hAnsi="Arial"/>
          <w:sz w:val="20"/>
        </w:rPr>
        <w:t xml:space="preserve"> officers</w:t>
      </w:r>
      <w:r w:rsidR="00266D1B">
        <w:rPr>
          <w:rFonts w:ascii="Arial" w:hAnsi="Arial"/>
          <w:sz w:val="20"/>
        </w:rPr>
        <w:t xml:space="preserve"> </w:t>
      </w:r>
      <w:r w:rsidR="006B3565">
        <w:rPr>
          <w:rFonts w:ascii="Arial" w:hAnsi="Arial"/>
          <w:sz w:val="20"/>
        </w:rPr>
        <w:t>reportedly</w:t>
      </w:r>
      <w:r w:rsidR="00AD42D8">
        <w:rPr>
          <w:rFonts w:ascii="Arial" w:hAnsi="Arial"/>
          <w:sz w:val="20"/>
        </w:rPr>
        <w:t xml:space="preserve"> </w:t>
      </w:r>
      <w:r w:rsidR="004D169F">
        <w:rPr>
          <w:rFonts w:ascii="Arial" w:hAnsi="Arial"/>
          <w:sz w:val="20"/>
        </w:rPr>
        <w:t xml:space="preserve">torture </w:t>
      </w:r>
      <w:r>
        <w:rPr>
          <w:rFonts w:ascii="Arial" w:hAnsi="Arial"/>
          <w:sz w:val="20"/>
        </w:rPr>
        <w:t>them in order</w:t>
      </w:r>
      <w:r w:rsidR="004D169F">
        <w:rPr>
          <w:rFonts w:ascii="Arial" w:hAnsi="Arial"/>
          <w:sz w:val="20"/>
        </w:rPr>
        <w:t xml:space="preserve"> to obtain “information” or “confessions” that subsequently form the basis for opening criminal case</w:t>
      </w:r>
      <w:r w:rsidR="00B16AD1">
        <w:rPr>
          <w:rFonts w:ascii="Arial" w:hAnsi="Arial"/>
          <w:sz w:val="20"/>
        </w:rPr>
        <w:t>s</w:t>
      </w:r>
      <w:r w:rsidR="00A674AE">
        <w:rPr>
          <w:rFonts w:ascii="Arial" w:hAnsi="Arial"/>
          <w:sz w:val="20"/>
        </w:rPr>
        <w:t xml:space="preserve"> against these individuals</w:t>
      </w:r>
      <w:r w:rsidR="004D169F">
        <w:rPr>
          <w:rFonts w:ascii="Arial" w:hAnsi="Arial"/>
          <w:sz w:val="20"/>
        </w:rPr>
        <w:t xml:space="preserve">. </w:t>
      </w:r>
    </w:p>
    <w:p w:rsidR="00872B5F" w:rsidRDefault="00872B5F" w:rsidP="008B7D16">
      <w:pPr>
        <w:jc w:val="both"/>
        <w:rPr>
          <w:rFonts w:ascii="Arial" w:hAnsi="Arial"/>
          <w:sz w:val="20"/>
        </w:rPr>
      </w:pPr>
    </w:p>
    <w:p w:rsidR="00604627" w:rsidRDefault="00872B5F" w:rsidP="008B7D16">
      <w:pPr>
        <w:jc w:val="both"/>
        <w:rPr>
          <w:rFonts w:ascii="Arial" w:hAnsi="Arial"/>
          <w:bCs/>
          <w:sz w:val="20"/>
          <w:lang w:val="de-DE"/>
        </w:rPr>
      </w:pPr>
      <w:r>
        <w:rPr>
          <w:rFonts w:ascii="Arial" w:hAnsi="Arial"/>
          <w:sz w:val="20"/>
        </w:rPr>
        <w:t xml:space="preserve">In </w:t>
      </w:r>
      <w:r w:rsidR="00E21C1B">
        <w:rPr>
          <w:rFonts w:ascii="Arial" w:hAnsi="Arial"/>
          <w:sz w:val="20"/>
        </w:rPr>
        <w:t>November 2012</w:t>
      </w:r>
      <w:r w:rsidR="00B16AD1">
        <w:rPr>
          <w:rFonts w:ascii="Arial" w:hAnsi="Arial"/>
          <w:sz w:val="20"/>
        </w:rPr>
        <w:t>,</w:t>
      </w:r>
      <w:r>
        <w:rPr>
          <w:rFonts w:ascii="Arial" w:hAnsi="Arial"/>
          <w:sz w:val="20"/>
        </w:rPr>
        <w:t xml:space="preserve"> the UN Committee against Torture recommended Tajikistan to “ensure that arrest starts from the moment of de-facto apprehension” (Recommendation 8 (a)). </w:t>
      </w:r>
      <w:r w:rsidR="002F6C85">
        <w:rPr>
          <w:rFonts w:ascii="Arial" w:hAnsi="Arial"/>
          <w:sz w:val="20"/>
        </w:rPr>
        <w:t>In January 2013, t</w:t>
      </w:r>
      <w:r>
        <w:rPr>
          <w:rFonts w:ascii="Arial" w:hAnsi="Arial"/>
          <w:sz w:val="20"/>
        </w:rPr>
        <w:t xml:space="preserve">he Special Rapporteur on </w:t>
      </w:r>
      <w:r w:rsidR="002F6C85">
        <w:rPr>
          <w:rFonts w:ascii="Arial" w:hAnsi="Arial"/>
          <w:sz w:val="20"/>
        </w:rPr>
        <w:t>torture</w:t>
      </w:r>
      <w:r>
        <w:rPr>
          <w:rFonts w:ascii="Arial" w:hAnsi="Arial"/>
          <w:sz w:val="20"/>
        </w:rPr>
        <w:t xml:space="preserve"> also called on Tajiki</w:t>
      </w:r>
      <w:r w:rsidR="002F6C85">
        <w:rPr>
          <w:rFonts w:ascii="Arial" w:hAnsi="Arial"/>
          <w:sz w:val="20"/>
        </w:rPr>
        <w:t>stan to “(</w:t>
      </w:r>
      <w:r>
        <w:rPr>
          <w:rFonts w:ascii="Arial" w:hAnsi="Arial"/>
          <w:sz w:val="20"/>
        </w:rPr>
        <w:t>a</w:t>
      </w:r>
      <w:r w:rsidR="002F6C85">
        <w:rPr>
          <w:rFonts w:ascii="Arial" w:hAnsi="Arial"/>
          <w:sz w:val="20"/>
        </w:rPr>
        <w:t>)</w:t>
      </w:r>
      <w:r>
        <w:rPr>
          <w:rFonts w:ascii="Arial" w:hAnsi="Arial"/>
          <w:sz w:val="20"/>
        </w:rPr>
        <w:t xml:space="preserve">mend the Code of </w:t>
      </w:r>
      <w:r w:rsidRPr="00872B5F">
        <w:rPr>
          <w:rFonts w:ascii="Arial" w:hAnsi="Arial"/>
          <w:bCs/>
          <w:sz w:val="20"/>
          <w:lang w:val="de-DE"/>
        </w:rPr>
        <w:t>Criminal Procedure to ensure that the time of arrest starts from de facto apprehension a</w:t>
      </w:r>
      <w:r w:rsidR="00126248">
        <w:rPr>
          <w:rFonts w:ascii="Arial" w:hAnsi="Arial"/>
          <w:bCs/>
          <w:sz w:val="20"/>
          <w:lang w:val="de-DE"/>
        </w:rPr>
        <w:t>nd delivery to a police station</w:t>
      </w:r>
      <w:r>
        <w:rPr>
          <w:rFonts w:ascii="Arial" w:hAnsi="Arial"/>
          <w:bCs/>
          <w:sz w:val="20"/>
          <w:lang w:val="de-DE"/>
        </w:rPr>
        <w:t>“</w:t>
      </w:r>
      <w:r w:rsidR="00126248">
        <w:rPr>
          <w:rFonts w:ascii="Arial" w:hAnsi="Arial"/>
          <w:bCs/>
          <w:sz w:val="20"/>
          <w:lang w:val="de-DE"/>
        </w:rPr>
        <w:t>.</w:t>
      </w:r>
      <w:r w:rsidRPr="00872B5F">
        <w:rPr>
          <w:rFonts w:ascii="Arial" w:hAnsi="Arial"/>
          <w:bCs/>
          <w:sz w:val="20"/>
          <w:lang w:val="de-DE"/>
        </w:rPr>
        <w:t xml:space="preserve"> (</w:t>
      </w:r>
      <w:r>
        <w:rPr>
          <w:rFonts w:ascii="Arial" w:hAnsi="Arial"/>
          <w:bCs/>
          <w:sz w:val="20"/>
          <w:lang w:val="de-DE"/>
        </w:rPr>
        <w:t>Recommendation</w:t>
      </w:r>
      <w:r w:rsidRPr="00872B5F">
        <w:rPr>
          <w:rFonts w:ascii="Arial" w:hAnsi="Arial"/>
          <w:bCs/>
          <w:sz w:val="20"/>
          <w:lang w:val="de-DE"/>
        </w:rPr>
        <w:t xml:space="preserve"> 99e)</w:t>
      </w:r>
      <w:r>
        <w:rPr>
          <w:rFonts w:ascii="Arial" w:hAnsi="Arial"/>
          <w:bCs/>
          <w:sz w:val="20"/>
          <w:lang w:val="de-DE"/>
        </w:rPr>
        <w:t xml:space="preserve">. </w:t>
      </w:r>
    </w:p>
    <w:p w:rsidR="00604627" w:rsidRDefault="00604627" w:rsidP="008B7D16">
      <w:pPr>
        <w:jc w:val="both"/>
        <w:rPr>
          <w:rFonts w:ascii="Arial" w:hAnsi="Arial"/>
          <w:bCs/>
          <w:sz w:val="20"/>
          <w:lang w:val="de-DE"/>
        </w:rPr>
      </w:pPr>
    </w:p>
    <w:p w:rsidR="00604627" w:rsidRPr="003808B3" w:rsidRDefault="00604627" w:rsidP="00604627">
      <w:pPr>
        <w:jc w:val="both"/>
        <w:rPr>
          <w:rFonts w:ascii="Arial" w:eastAsia="Cambria" w:hAnsi="Arial" w:cs="Times New Roman"/>
          <w:sz w:val="20"/>
          <w:u w:val="single"/>
          <w:lang w:val="fr-FR"/>
        </w:rPr>
      </w:pPr>
      <w:r w:rsidRPr="003808B3">
        <w:rPr>
          <w:rFonts w:ascii="Arial" w:eastAsia="Cambria" w:hAnsi="Arial" w:cs="Times New Roman"/>
          <w:sz w:val="20"/>
          <w:u w:val="single"/>
          <w:lang w:val="fr-FR"/>
        </w:rPr>
        <w:t>Implement safeguards</w:t>
      </w:r>
    </w:p>
    <w:p w:rsidR="00604627" w:rsidRDefault="00604627" w:rsidP="00604627">
      <w:pPr>
        <w:jc w:val="both"/>
        <w:rPr>
          <w:rFonts w:ascii="Arial" w:eastAsia="Cambria" w:hAnsi="Arial" w:cs="Times New Roman"/>
          <w:sz w:val="20"/>
          <w:lang w:val="fr-FR"/>
        </w:rPr>
      </w:pPr>
      <w:r>
        <w:rPr>
          <w:rFonts w:ascii="Arial" w:eastAsia="Cambria" w:hAnsi="Arial" w:cs="Times New Roman"/>
          <w:sz w:val="20"/>
          <w:lang w:val="fr-FR"/>
        </w:rPr>
        <w:t xml:space="preserve">Domestic legislation already contains a number of relevant safeguards that are fully in line with requirements under international human rights law, but they are frequently not implemented. </w:t>
      </w:r>
    </w:p>
    <w:p w:rsidR="00604627" w:rsidRDefault="00604627" w:rsidP="00604627">
      <w:pPr>
        <w:jc w:val="both"/>
        <w:rPr>
          <w:rFonts w:ascii="Arial" w:eastAsia="Cambria" w:hAnsi="Arial" w:cs="Times New Roman"/>
          <w:sz w:val="20"/>
          <w:lang w:val="fr-FR"/>
        </w:rPr>
      </w:pPr>
    </w:p>
    <w:p w:rsidR="00604627" w:rsidRPr="00613C7E" w:rsidRDefault="00604627" w:rsidP="00604627">
      <w:pPr>
        <w:jc w:val="both"/>
        <w:rPr>
          <w:rFonts w:ascii="Arial" w:hAnsi="Arial"/>
          <w:sz w:val="20"/>
          <w:lang w:val="en-GB"/>
        </w:rPr>
      </w:pPr>
      <w:r>
        <w:rPr>
          <w:rFonts w:ascii="Arial" w:eastAsia="Cambria" w:hAnsi="Arial" w:cs="Times New Roman"/>
          <w:sz w:val="20"/>
          <w:lang w:val="fr-FR"/>
        </w:rPr>
        <w:t xml:space="preserve">For example, the Constitution of Tajikistan stipulates that </w:t>
      </w:r>
      <w:r>
        <w:rPr>
          <w:rFonts w:ascii="Arial" w:hAnsi="Arial"/>
          <w:sz w:val="20"/>
        </w:rPr>
        <w:t xml:space="preserve">“a person is entitled to services of a lawyer from the moment of detention” and the </w:t>
      </w:r>
      <w:r w:rsidR="00FC1F4F">
        <w:rPr>
          <w:rFonts w:ascii="Arial" w:hAnsi="Arial"/>
          <w:sz w:val="20"/>
          <w:lang w:val="fr-FR"/>
        </w:rPr>
        <w:t>Criminal Procedure Code of Tajikistan (CPC)</w:t>
      </w:r>
      <w:r w:rsidR="00FC1F4F">
        <w:rPr>
          <w:rFonts w:ascii="Arial" w:hAnsi="Arial"/>
          <w:sz w:val="20"/>
        </w:rPr>
        <w:t xml:space="preserve"> </w:t>
      </w:r>
      <w:r>
        <w:rPr>
          <w:rFonts w:ascii="Arial" w:hAnsi="Arial"/>
          <w:sz w:val="20"/>
        </w:rPr>
        <w:t xml:space="preserve">includes similar guarantees. However, in practice police investigators often deny </w:t>
      </w:r>
      <w:r w:rsidRPr="005A0BC5">
        <w:rPr>
          <w:rFonts w:ascii="Arial" w:hAnsi="Arial"/>
          <w:b/>
          <w:sz w:val="20"/>
        </w:rPr>
        <w:t xml:space="preserve">lawyers access to </w:t>
      </w:r>
      <w:r w:rsidRPr="005A0BC5">
        <w:rPr>
          <w:rFonts w:ascii="Arial" w:hAnsi="Arial"/>
          <w:sz w:val="20"/>
        </w:rPr>
        <w:t>their</w:t>
      </w:r>
      <w:r w:rsidRPr="005A0BC5">
        <w:rPr>
          <w:rFonts w:ascii="Arial" w:hAnsi="Arial"/>
          <w:b/>
          <w:sz w:val="20"/>
        </w:rPr>
        <w:t xml:space="preserve"> clients</w:t>
      </w:r>
      <w:r>
        <w:rPr>
          <w:rFonts w:ascii="Arial" w:hAnsi="Arial"/>
          <w:sz w:val="20"/>
        </w:rPr>
        <w:t xml:space="preserve"> for days and </w:t>
      </w:r>
      <w:r w:rsidRPr="003453FA">
        <w:rPr>
          <w:rFonts w:ascii="Arial" w:hAnsi="Arial"/>
          <w:sz w:val="20"/>
        </w:rPr>
        <w:t>lawyers</w:t>
      </w:r>
      <w:r>
        <w:rPr>
          <w:rFonts w:ascii="Arial" w:hAnsi="Arial"/>
          <w:sz w:val="20"/>
        </w:rPr>
        <w:t xml:space="preserve"> in many cases see their clients for the first time at the remand hearing. Lawyers continue to experience obstacles visiting their clients in investigation-isolation facilities (SIZO), the detention facilities under the jurisdiction of the Ministry of Justice. </w:t>
      </w:r>
      <w:r>
        <w:rPr>
          <w:rFonts w:ascii="Arial" w:hAnsi="Arial"/>
          <w:sz w:val="20"/>
          <w:lang w:val="fr-FR"/>
        </w:rPr>
        <w:t>I</w:t>
      </w:r>
      <w:r w:rsidRPr="00AA3DF2">
        <w:rPr>
          <w:rFonts w:ascii="Arial" w:hAnsi="Arial"/>
          <w:sz w:val="20"/>
          <w:lang w:val="fr-FR"/>
        </w:rPr>
        <w:t xml:space="preserve">n some cases lawyers </w:t>
      </w:r>
      <w:r>
        <w:rPr>
          <w:rFonts w:ascii="Arial" w:hAnsi="Arial"/>
          <w:sz w:val="20"/>
          <w:lang w:val="fr-FR"/>
        </w:rPr>
        <w:t>have been</w:t>
      </w:r>
      <w:r w:rsidRPr="00AA3DF2">
        <w:rPr>
          <w:rFonts w:ascii="Arial" w:hAnsi="Arial"/>
          <w:sz w:val="20"/>
          <w:lang w:val="fr-FR"/>
        </w:rPr>
        <w:t xml:space="preserve"> prevented from seeing clients until the </w:t>
      </w:r>
      <w:r w:rsidRPr="00F71C19">
        <w:rPr>
          <w:rFonts w:ascii="Arial" w:hAnsi="Arial"/>
          <w:sz w:val="20"/>
          <w:lang w:val="fr-FR"/>
        </w:rPr>
        <w:t>police investigator sen</w:t>
      </w:r>
      <w:r>
        <w:rPr>
          <w:rFonts w:ascii="Arial" w:hAnsi="Arial"/>
          <w:sz w:val="20"/>
          <w:lang w:val="fr-FR"/>
        </w:rPr>
        <w:t>t</w:t>
      </w:r>
      <w:r w:rsidRPr="00F71C19">
        <w:rPr>
          <w:rFonts w:ascii="Arial" w:hAnsi="Arial"/>
          <w:sz w:val="20"/>
          <w:lang w:val="fr-FR"/>
        </w:rPr>
        <w:t xml:space="preserve"> confirmation to the SIZO</w:t>
      </w:r>
      <w:r w:rsidRPr="00AA3DF2">
        <w:rPr>
          <w:rFonts w:ascii="Arial" w:hAnsi="Arial"/>
          <w:sz w:val="20"/>
          <w:lang w:val="fr-FR"/>
        </w:rPr>
        <w:t xml:space="preserve"> administration certifying that the lawyer is involved in the specific criminal case</w:t>
      </w:r>
      <w:r>
        <w:rPr>
          <w:rFonts w:ascii="Arial" w:hAnsi="Arial"/>
          <w:sz w:val="20"/>
          <w:lang w:val="fr-FR"/>
        </w:rPr>
        <w:t>.</w:t>
      </w:r>
      <w:r w:rsidRPr="00AA3DF2">
        <w:rPr>
          <w:rFonts w:ascii="Arial" w:hAnsi="Arial"/>
          <w:sz w:val="20"/>
          <w:lang w:val="fr-FR"/>
        </w:rPr>
        <w:t xml:space="preserve"> </w:t>
      </w:r>
      <w:r>
        <w:rPr>
          <w:rFonts w:ascii="Arial" w:hAnsi="Arial"/>
          <w:sz w:val="20"/>
          <w:lang w:val="fr-FR"/>
        </w:rPr>
        <w:t xml:space="preserve">The Committee against Torture recommended Tajikistan to </w:t>
      </w:r>
      <w:r>
        <w:rPr>
          <w:rFonts w:ascii="Arial" w:hAnsi="Arial"/>
          <w:sz w:val="20"/>
        </w:rPr>
        <w:t>“(g)</w:t>
      </w:r>
      <w:r w:rsidRPr="00613C7E">
        <w:rPr>
          <w:rFonts w:ascii="Arial" w:hAnsi="Arial"/>
          <w:sz w:val="20"/>
          <w:lang w:val="en-GB"/>
        </w:rPr>
        <w:t>uarantee the right to access lawyers of their choice from the moment of apprehension and to hold consultations in private, including through the adoption of l</w:t>
      </w:r>
      <w:r>
        <w:rPr>
          <w:rFonts w:ascii="Arial" w:hAnsi="Arial"/>
          <w:sz w:val="20"/>
          <w:lang w:val="en-GB"/>
        </w:rPr>
        <w:t>egal provisions in this respect”</w:t>
      </w:r>
      <w:r w:rsidRPr="00613C7E">
        <w:rPr>
          <w:rFonts w:ascii="Arial" w:hAnsi="Arial"/>
          <w:sz w:val="20"/>
          <w:lang w:val="en-GB"/>
        </w:rPr>
        <w:t xml:space="preserve"> (</w:t>
      </w:r>
      <w:r>
        <w:rPr>
          <w:rFonts w:ascii="Arial" w:hAnsi="Arial"/>
          <w:sz w:val="20"/>
          <w:lang w:val="en-GB"/>
        </w:rPr>
        <w:t>Recommendation</w:t>
      </w:r>
      <w:r w:rsidRPr="00613C7E">
        <w:rPr>
          <w:rFonts w:ascii="Arial" w:hAnsi="Arial"/>
          <w:sz w:val="20"/>
          <w:lang w:val="en-GB"/>
        </w:rPr>
        <w:t xml:space="preserve"> 8 (d))</w:t>
      </w:r>
      <w:r>
        <w:rPr>
          <w:rFonts w:ascii="Arial" w:hAnsi="Arial"/>
          <w:sz w:val="20"/>
          <w:lang w:val="en-GB"/>
        </w:rPr>
        <w:t>.</w:t>
      </w:r>
    </w:p>
    <w:p w:rsidR="00604627" w:rsidRDefault="00604627" w:rsidP="00604627">
      <w:pPr>
        <w:jc w:val="both"/>
        <w:rPr>
          <w:rFonts w:ascii="Arial" w:eastAsia="Cambria" w:hAnsi="Arial" w:cs="Times New Roman"/>
          <w:sz w:val="20"/>
          <w:lang w:val="fr-FR"/>
        </w:rPr>
      </w:pPr>
    </w:p>
    <w:p w:rsidR="00D64258" w:rsidRDefault="00604627" w:rsidP="00604627">
      <w:pPr>
        <w:jc w:val="both"/>
        <w:rPr>
          <w:rFonts w:ascii="Arial" w:hAnsi="Arial"/>
          <w:sz w:val="20"/>
        </w:rPr>
      </w:pPr>
      <w:r>
        <w:rPr>
          <w:rFonts w:ascii="Arial" w:eastAsia="Cambria" w:hAnsi="Arial" w:cs="Times New Roman"/>
          <w:sz w:val="20"/>
          <w:lang w:val="fr-FR"/>
        </w:rPr>
        <w:t xml:space="preserve">The CPC stipulates that </w:t>
      </w:r>
      <w:r>
        <w:rPr>
          <w:rFonts w:ascii="Arial" w:hAnsi="Arial"/>
          <w:sz w:val="20"/>
        </w:rPr>
        <w:t xml:space="preserve">“evidence obtained during the inquiry and preliminary investigation by way of force, pressure, causing suffering, inhuman treatment or other illegal methods, is invalid and cannot form the basis of an accusation.” However, in practice </w:t>
      </w:r>
      <w:r w:rsidRPr="005A0BC5">
        <w:rPr>
          <w:rFonts w:ascii="Arial" w:hAnsi="Arial"/>
          <w:b/>
          <w:sz w:val="20"/>
        </w:rPr>
        <w:t xml:space="preserve">evidence extracted under torture </w:t>
      </w:r>
      <w:r w:rsidRPr="005A0BC5">
        <w:rPr>
          <w:rFonts w:ascii="Arial" w:hAnsi="Arial"/>
          <w:sz w:val="20"/>
        </w:rPr>
        <w:t>is routinely</w:t>
      </w:r>
      <w:r w:rsidRPr="005A0BC5">
        <w:rPr>
          <w:rFonts w:ascii="Arial" w:hAnsi="Arial"/>
          <w:b/>
          <w:sz w:val="20"/>
        </w:rPr>
        <w:t xml:space="preserve"> used in court</w:t>
      </w:r>
      <w:r>
        <w:rPr>
          <w:rFonts w:ascii="Arial" w:hAnsi="Arial"/>
          <w:sz w:val="20"/>
        </w:rPr>
        <w:t>, and when defendants complain about torture, judges often dismiss the allegations</w:t>
      </w:r>
      <w:r w:rsidR="00AA37E9">
        <w:rPr>
          <w:rFonts w:ascii="Arial" w:hAnsi="Arial"/>
          <w:sz w:val="20"/>
        </w:rPr>
        <w:t xml:space="preserve"> without further checking</w:t>
      </w:r>
      <w:r>
        <w:rPr>
          <w:rFonts w:ascii="Arial" w:hAnsi="Arial"/>
          <w:sz w:val="20"/>
        </w:rPr>
        <w:t xml:space="preserve">. </w:t>
      </w:r>
      <w:r w:rsidR="00757B58">
        <w:rPr>
          <w:rFonts w:ascii="Arial" w:hAnsi="Arial"/>
          <w:sz w:val="20"/>
        </w:rPr>
        <w:t xml:space="preserve">According to local human rights groups, judges </w:t>
      </w:r>
      <w:r w:rsidR="00AA37E9">
        <w:rPr>
          <w:rFonts w:ascii="Arial" w:hAnsi="Arial"/>
          <w:sz w:val="20"/>
        </w:rPr>
        <w:t xml:space="preserve">sometimes </w:t>
      </w:r>
      <w:r w:rsidR="00757B58">
        <w:rPr>
          <w:rFonts w:ascii="Arial" w:hAnsi="Arial"/>
          <w:sz w:val="20"/>
        </w:rPr>
        <w:t xml:space="preserve">summon the police officers accused of torture to testify. If they deny the allegations, </w:t>
      </w:r>
      <w:r w:rsidR="00AA37E9">
        <w:rPr>
          <w:rFonts w:ascii="Arial" w:hAnsi="Arial"/>
          <w:sz w:val="20"/>
        </w:rPr>
        <w:t xml:space="preserve">the judge’s review of the torture allegations is </w:t>
      </w:r>
      <w:r w:rsidR="00F53FE5">
        <w:rPr>
          <w:rFonts w:ascii="Arial" w:hAnsi="Arial"/>
          <w:sz w:val="20"/>
        </w:rPr>
        <w:t xml:space="preserve">reportedly </w:t>
      </w:r>
      <w:r w:rsidR="003A615C">
        <w:rPr>
          <w:rFonts w:ascii="Arial" w:hAnsi="Arial"/>
          <w:sz w:val="20"/>
        </w:rPr>
        <w:t>closed and no further inquiries are made into the allegations.</w:t>
      </w:r>
      <w:r w:rsidR="00757B58">
        <w:rPr>
          <w:rFonts w:ascii="Arial" w:hAnsi="Arial"/>
          <w:sz w:val="20"/>
        </w:rPr>
        <w:t xml:space="preserve"> </w:t>
      </w:r>
      <w:r w:rsidR="00D64258">
        <w:rPr>
          <w:rFonts w:ascii="Arial" w:hAnsi="Arial"/>
          <w:sz w:val="20"/>
        </w:rPr>
        <w:t xml:space="preserve">Local </w:t>
      </w:r>
      <w:r w:rsidR="00757B58">
        <w:rPr>
          <w:rFonts w:ascii="Arial" w:hAnsi="Arial"/>
          <w:sz w:val="20"/>
        </w:rPr>
        <w:t>NGOs</w:t>
      </w:r>
      <w:r w:rsidR="00D64258">
        <w:rPr>
          <w:rFonts w:ascii="Arial" w:hAnsi="Arial"/>
          <w:sz w:val="20"/>
        </w:rPr>
        <w:t xml:space="preserve"> are not aware of any case where a court excluded from the case materials evidence because it was established that it was obtained through torture. </w:t>
      </w:r>
    </w:p>
    <w:p w:rsidR="00F92E3D" w:rsidRDefault="00F92E3D" w:rsidP="00604627">
      <w:pPr>
        <w:jc w:val="both"/>
        <w:rPr>
          <w:rFonts w:ascii="Arial" w:hAnsi="Arial"/>
          <w:sz w:val="20"/>
        </w:rPr>
      </w:pPr>
    </w:p>
    <w:p w:rsidR="00755603" w:rsidRPr="00EA25B7" w:rsidRDefault="00604627" w:rsidP="00604627">
      <w:pPr>
        <w:jc w:val="both"/>
        <w:rPr>
          <w:rFonts w:ascii="Arial" w:hAnsi="Arial"/>
          <w:sz w:val="20"/>
          <w:lang w:val="de-DE"/>
        </w:rPr>
      </w:pPr>
      <w:r>
        <w:rPr>
          <w:rFonts w:ascii="Arial" w:hAnsi="Arial"/>
          <w:sz w:val="20"/>
        </w:rPr>
        <w:t xml:space="preserve">International law requires </w:t>
      </w:r>
      <w:r w:rsidR="00EA25B7" w:rsidRPr="00EA25B7">
        <w:rPr>
          <w:rFonts w:ascii="Arial" w:hAnsi="Arial"/>
          <w:sz w:val="20"/>
          <w:lang w:val="de-DE"/>
        </w:rPr>
        <w:t xml:space="preserve">that evidence obtained through torture or other ill-treatment is not used in any proceedings, except against a person </w:t>
      </w:r>
      <w:r w:rsidR="00EA25B7" w:rsidRPr="00FD7079">
        <w:rPr>
          <w:rFonts w:ascii="Arial" w:hAnsi="Arial"/>
          <w:sz w:val="20"/>
          <w:lang w:val="de-DE"/>
        </w:rPr>
        <w:t xml:space="preserve">accused of torture or other ill-treatment. </w:t>
      </w:r>
      <w:r w:rsidR="00755603" w:rsidRPr="00FD7079">
        <w:rPr>
          <w:rFonts w:ascii="Arial" w:hAnsi="Arial"/>
          <w:sz w:val="20"/>
          <w:lang w:val="en-GB"/>
        </w:rPr>
        <w:t>The Committee against Torture recommended Tajikistan to “guarantee, in practice, that statements obtained by torture are not invoked as evidence in any proceedings” and that “in any case in which a person alleges that a confession was obtained through torture, the proceedings are suspended until the claim h</w:t>
      </w:r>
      <w:r w:rsidR="00EA25B7" w:rsidRPr="00FD7079">
        <w:rPr>
          <w:rFonts w:ascii="Arial" w:hAnsi="Arial"/>
          <w:sz w:val="20"/>
          <w:lang w:val="en-GB"/>
        </w:rPr>
        <w:t xml:space="preserve">as been thoroughly investigated” </w:t>
      </w:r>
      <w:r w:rsidR="00755603" w:rsidRPr="00FD7079">
        <w:rPr>
          <w:rFonts w:ascii="Arial" w:hAnsi="Arial"/>
          <w:sz w:val="20"/>
          <w:lang w:val="en-GB"/>
        </w:rPr>
        <w:t>(Recommendation 13)</w:t>
      </w:r>
      <w:r w:rsidR="00EA25B7" w:rsidRPr="00FD7079">
        <w:rPr>
          <w:rFonts w:ascii="Arial" w:hAnsi="Arial"/>
          <w:sz w:val="20"/>
          <w:lang w:val="en-GB"/>
        </w:rPr>
        <w:t>.</w:t>
      </w:r>
    </w:p>
    <w:p w:rsidR="00116303" w:rsidRDefault="00116303" w:rsidP="008B7D16">
      <w:pPr>
        <w:jc w:val="both"/>
        <w:rPr>
          <w:rFonts w:ascii="Arial" w:hAnsi="Arial"/>
          <w:sz w:val="20"/>
        </w:rPr>
      </w:pPr>
    </w:p>
    <w:p w:rsidR="004D169F" w:rsidRPr="00246518" w:rsidRDefault="000B36D2" w:rsidP="008B7D16">
      <w:pPr>
        <w:jc w:val="both"/>
        <w:rPr>
          <w:rFonts w:ascii="Arial" w:hAnsi="Arial"/>
          <w:sz w:val="20"/>
          <w:u w:val="single"/>
          <w:lang w:val="fr-FR"/>
        </w:rPr>
      </w:pPr>
      <w:r>
        <w:rPr>
          <w:rFonts w:ascii="Arial" w:hAnsi="Arial"/>
          <w:sz w:val="20"/>
          <w:u w:val="single"/>
          <w:lang w:val="fr-FR"/>
        </w:rPr>
        <w:t>L</w:t>
      </w:r>
      <w:r w:rsidR="00246518" w:rsidRPr="00246518">
        <w:rPr>
          <w:rFonts w:ascii="Arial" w:hAnsi="Arial"/>
          <w:sz w:val="20"/>
          <w:u w:val="single"/>
          <w:lang w:val="fr-FR"/>
        </w:rPr>
        <w:t xml:space="preserve">egal amendments needed to strengthen </w:t>
      </w:r>
      <w:r w:rsidR="006D0A07">
        <w:rPr>
          <w:rFonts w:ascii="Arial" w:hAnsi="Arial"/>
          <w:sz w:val="20"/>
          <w:u w:val="single"/>
          <w:lang w:val="fr-FR"/>
        </w:rPr>
        <w:t xml:space="preserve">existing </w:t>
      </w:r>
      <w:r w:rsidR="00246518" w:rsidRPr="00246518">
        <w:rPr>
          <w:rFonts w:ascii="Arial" w:hAnsi="Arial"/>
          <w:sz w:val="20"/>
          <w:u w:val="single"/>
          <w:lang w:val="fr-FR"/>
        </w:rPr>
        <w:t>safeguards</w:t>
      </w:r>
    </w:p>
    <w:p w:rsidR="00696FA7" w:rsidRDefault="00DD230C" w:rsidP="00DD230C">
      <w:pPr>
        <w:jc w:val="both"/>
        <w:rPr>
          <w:rFonts w:ascii="Arial" w:hAnsi="Arial"/>
          <w:sz w:val="20"/>
          <w:lang w:val="fr-FR"/>
        </w:rPr>
      </w:pPr>
      <w:r>
        <w:rPr>
          <w:rFonts w:ascii="Arial" w:hAnsi="Arial"/>
          <w:sz w:val="20"/>
          <w:lang w:val="fr-FR"/>
        </w:rPr>
        <w:t xml:space="preserve">Some of the legal safeguards provided for in domestic legislation need to be further strengthened </w:t>
      </w:r>
      <w:r w:rsidR="000B36D2">
        <w:rPr>
          <w:rFonts w:ascii="Arial" w:hAnsi="Arial"/>
          <w:sz w:val="20"/>
          <w:lang w:val="fr-FR"/>
        </w:rPr>
        <w:t xml:space="preserve">in order to </w:t>
      </w:r>
      <w:r w:rsidR="00090B3A">
        <w:rPr>
          <w:rFonts w:ascii="Arial" w:hAnsi="Arial"/>
          <w:sz w:val="20"/>
          <w:lang w:val="fr-FR"/>
        </w:rPr>
        <w:t>ensure</w:t>
      </w:r>
      <w:r w:rsidR="000B36D2">
        <w:rPr>
          <w:rFonts w:ascii="Arial" w:hAnsi="Arial"/>
          <w:sz w:val="20"/>
          <w:lang w:val="fr-FR"/>
        </w:rPr>
        <w:t xml:space="preserve"> effective protection from torture </w:t>
      </w:r>
      <w:r w:rsidR="00090B3A">
        <w:rPr>
          <w:rFonts w:ascii="Arial" w:hAnsi="Arial"/>
          <w:sz w:val="20"/>
          <w:lang w:val="fr-FR"/>
        </w:rPr>
        <w:t>or</w:t>
      </w:r>
      <w:r w:rsidR="000B36D2">
        <w:rPr>
          <w:rFonts w:ascii="Arial" w:hAnsi="Arial"/>
          <w:sz w:val="20"/>
          <w:lang w:val="fr-FR"/>
        </w:rPr>
        <w:t xml:space="preserve"> other ill-treatment. </w:t>
      </w:r>
    </w:p>
    <w:p w:rsidR="00696FA7" w:rsidRDefault="00696FA7" w:rsidP="008B7D16">
      <w:pPr>
        <w:jc w:val="both"/>
        <w:rPr>
          <w:rFonts w:ascii="Arial" w:hAnsi="Arial"/>
          <w:sz w:val="20"/>
          <w:lang w:val="fr-FR"/>
        </w:rPr>
      </w:pPr>
    </w:p>
    <w:p w:rsidR="000B6184" w:rsidRDefault="00787C13" w:rsidP="00E21C1B">
      <w:pPr>
        <w:jc w:val="both"/>
        <w:rPr>
          <w:rFonts w:ascii="Arial" w:hAnsi="Arial"/>
          <w:sz w:val="20"/>
          <w:lang w:val="fr-FR"/>
        </w:rPr>
      </w:pPr>
      <w:r>
        <w:rPr>
          <w:rFonts w:ascii="Arial" w:hAnsi="Arial"/>
          <w:sz w:val="20"/>
          <w:lang w:val="fr-FR"/>
        </w:rPr>
        <w:t xml:space="preserve">For example, </w:t>
      </w:r>
      <w:r w:rsidR="00852732">
        <w:rPr>
          <w:rFonts w:ascii="Arial" w:hAnsi="Arial"/>
          <w:sz w:val="20"/>
          <w:lang w:val="fr-FR"/>
        </w:rPr>
        <w:t xml:space="preserve">the </w:t>
      </w:r>
      <w:r w:rsidR="00FC1F4F">
        <w:rPr>
          <w:rFonts w:ascii="Arial" w:hAnsi="Arial"/>
          <w:sz w:val="20"/>
          <w:lang w:val="fr-FR"/>
        </w:rPr>
        <w:t>CPC</w:t>
      </w:r>
      <w:r w:rsidR="00852732">
        <w:rPr>
          <w:rFonts w:ascii="Arial" w:hAnsi="Arial"/>
          <w:sz w:val="20"/>
          <w:lang w:val="fr-FR"/>
        </w:rPr>
        <w:t xml:space="preserve"> stipulates that </w:t>
      </w:r>
      <w:r w:rsidR="00852732" w:rsidRPr="00E85258">
        <w:rPr>
          <w:rFonts w:ascii="Arial" w:hAnsi="Arial"/>
          <w:sz w:val="20"/>
          <w:lang w:val="fr-FR"/>
        </w:rPr>
        <w:t xml:space="preserve">detainees should be </w:t>
      </w:r>
      <w:r w:rsidR="00852732" w:rsidRPr="0002771D">
        <w:rPr>
          <w:rFonts w:ascii="Arial" w:hAnsi="Arial"/>
          <w:b/>
          <w:sz w:val="20"/>
          <w:lang w:val="fr-FR"/>
        </w:rPr>
        <w:t>informed of their rights</w:t>
      </w:r>
      <w:r w:rsidR="00852732">
        <w:rPr>
          <w:rFonts w:ascii="Arial" w:hAnsi="Arial"/>
          <w:sz w:val="20"/>
          <w:lang w:val="fr-FR"/>
        </w:rPr>
        <w:t xml:space="preserve"> after the detention record is drawn up (Article 94</w:t>
      </w:r>
      <w:r w:rsidR="00C05D90">
        <w:rPr>
          <w:rFonts w:ascii="Arial" w:hAnsi="Arial"/>
          <w:sz w:val="20"/>
          <w:lang w:val="fr-FR"/>
        </w:rPr>
        <w:t>). Under Article 94.1</w:t>
      </w:r>
      <w:r w:rsidR="00852732">
        <w:rPr>
          <w:rFonts w:ascii="Arial" w:hAnsi="Arial"/>
          <w:sz w:val="20"/>
          <w:lang w:val="fr-FR"/>
        </w:rPr>
        <w:t xml:space="preserve"> of the CPC the detention record should be drawn up within three hours of the detainee’s arrival at the police station.</w:t>
      </w:r>
      <w:r w:rsidR="000B6184">
        <w:rPr>
          <w:rFonts w:ascii="Arial" w:hAnsi="Arial"/>
          <w:sz w:val="20"/>
          <w:lang w:val="fr-FR"/>
        </w:rPr>
        <w:t xml:space="preserve"> Domestic legislation does not specify the time frame within which detainees have to be admitted to a police station after being apprehended.</w:t>
      </w:r>
      <w:r w:rsidR="00C403A4">
        <w:rPr>
          <w:rFonts w:ascii="Arial" w:hAnsi="Arial"/>
          <w:sz w:val="20"/>
          <w:lang w:val="fr-FR"/>
        </w:rPr>
        <w:t xml:space="preserve"> In practice the arrival of a detainee at the police station can be hours </w:t>
      </w:r>
      <w:r w:rsidR="004A4979">
        <w:rPr>
          <w:rFonts w:ascii="Arial" w:hAnsi="Arial"/>
          <w:sz w:val="20"/>
          <w:lang w:val="fr-FR"/>
        </w:rPr>
        <w:t xml:space="preserve">or even days </w:t>
      </w:r>
      <w:r w:rsidR="00C403A4">
        <w:rPr>
          <w:rFonts w:ascii="Arial" w:hAnsi="Arial"/>
          <w:sz w:val="20"/>
          <w:lang w:val="fr-FR"/>
        </w:rPr>
        <w:t>after the detainee was apprehended</w:t>
      </w:r>
      <w:r w:rsidR="00C01970">
        <w:rPr>
          <w:rFonts w:ascii="Arial" w:hAnsi="Arial"/>
          <w:sz w:val="20"/>
          <w:lang w:val="fr-FR"/>
        </w:rPr>
        <w:t>, according to local human rights groups</w:t>
      </w:r>
      <w:r w:rsidR="00C403A4">
        <w:rPr>
          <w:rFonts w:ascii="Arial" w:hAnsi="Arial"/>
          <w:sz w:val="20"/>
          <w:lang w:val="fr-FR"/>
        </w:rPr>
        <w:t xml:space="preserve">. </w:t>
      </w:r>
    </w:p>
    <w:p w:rsidR="00A47AEC" w:rsidRDefault="00A47AEC" w:rsidP="00E21C1B">
      <w:pPr>
        <w:jc w:val="both"/>
        <w:rPr>
          <w:rFonts w:ascii="Arial" w:hAnsi="Arial"/>
          <w:sz w:val="20"/>
          <w:lang w:val="fr-FR"/>
        </w:rPr>
      </w:pPr>
    </w:p>
    <w:p w:rsidR="00696FA7" w:rsidRPr="00E21C1B" w:rsidRDefault="00852732" w:rsidP="00E21C1B">
      <w:pPr>
        <w:jc w:val="both"/>
        <w:rPr>
          <w:rFonts w:ascii="Arial" w:hAnsi="Arial"/>
          <w:sz w:val="20"/>
          <w:lang w:val="de-DE"/>
        </w:rPr>
      </w:pPr>
      <w:r>
        <w:rPr>
          <w:rFonts w:ascii="Arial" w:hAnsi="Arial"/>
          <w:sz w:val="20"/>
          <w:lang w:val="fr-FR"/>
        </w:rPr>
        <w:t xml:space="preserve">Principle 13 of the UN </w:t>
      </w:r>
      <w:r w:rsidR="00E21C1B" w:rsidRPr="00E21C1B">
        <w:rPr>
          <w:rFonts w:ascii="Arial" w:hAnsi="Arial"/>
          <w:sz w:val="20"/>
          <w:lang w:val="de-DE"/>
        </w:rPr>
        <w:t>Body of Principles for the</w:t>
      </w:r>
      <w:r w:rsidR="00E21C1B">
        <w:rPr>
          <w:rFonts w:ascii="Arial" w:hAnsi="Arial"/>
          <w:sz w:val="20"/>
          <w:lang w:val="de-DE"/>
        </w:rPr>
        <w:t xml:space="preserve"> Protection of All Persons </w:t>
      </w:r>
      <w:r w:rsidR="00E21C1B" w:rsidRPr="00E21C1B">
        <w:rPr>
          <w:rFonts w:ascii="Arial" w:hAnsi="Arial"/>
          <w:sz w:val="20"/>
          <w:lang w:val="de-DE"/>
        </w:rPr>
        <w:t>under Any Form of Detention or Imprisonment</w:t>
      </w:r>
      <w:r>
        <w:rPr>
          <w:rFonts w:ascii="Arial" w:hAnsi="Arial"/>
          <w:sz w:val="20"/>
          <w:lang w:val="fr-FR"/>
        </w:rPr>
        <w:t xml:space="preserve"> states that </w:t>
      </w:r>
      <w:r>
        <w:rPr>
          <w:rFonts w:ascii="Arial" w:hAnsi="Arial"/>
          <w:sz w:val="20"/>
        </w:rPr>
        <w:t xml:space="preserve">“any person shall, </w:t>
      </w:r>
      <w:r w:rsidRPr="0002771D">
        <w:rPr>
          <w:rFonts w:ascii="Arial" w:hAnsi="Arial"/>
          <w:sz w:val="20"/>
        </w:rPr>
        <w:t>at the moment of arrest and at the commencement of detention or imprisonment, or promptly thereafte</w:t>
      </w:r>
      <w:r w:rsidR="002C41B2" w:rsidRPr="0002771D">
        <w:rPr>
          <w:rFonts w:ascii="Arial" w:hAnsi="Arial"/>
          <w:sz w:val="20"/>
        </w:rPr>
        <w:t>r, be provided (…) with information on and an explanation of his rights</w:t>
      </w:r>
      <w:r w:rsidR="002C41B2">
        <w:rPr>
          <w:rFonts w:ascii="Arial" w:hAnsi="Arial"/>
          <w:sz w:val="20"/>
        </w:rPr>
        <w:t xml:space="preserve"> and how to avail himself of such rights.”</w:t>
      </w:r>
      <w:r w:rsidR="00B602E4">
        <w:rPr>
          <w:rFonts w:ascii="Arial" w:hAnsi="Arial"/>
          <w:sz w:val="20"/>
        </w:rPr>
        <w:t xml:space="preserve"> In </w:t>
      </w:r>
      <w:r w:rsidR="00E21C1B">
        <w:rPr>
          <w:rFonts w:ascii="Arial" w:hAnsi="Arial"/>
          <w:sz w:val="20"/>
        </w:rPr>
        <w:t>its concluding observations issued in 2012</w:t>
      </w:r>
      <w:r w:rsidR="00B602E4">
        <w:rPr>
          <w:rFonts w:ascii="Arial" w:hAnsi="Arial"/>
          <w:sz w:val="20"/>
        </w:rPr>
        <w:t xml:space="preserve"> </w:t>
      </w:r>
      <w:r w:rsidR="006F64B3">
        <w:rPr>
          <w:rFonts w:ascii="Arial" w:hAnsi="Arial"/>
          <w:sz w:val="20"/>
        </w:rPr>
        <w:t>t</w:t>
      </w:r>
      <w:r w:rsidR="00B602E4">
        <w:rPr>
          <w:rFonts w:ascii="Arial" w:hAnsi="Arial"/>
          <w:sz w:val="20"/>
        </w:rPr>
        <w:t>he Committee against Torture recommended Tajikistan to “(e)</w:t>
      </w:r>
      <w:r w:rsidR="00B602E4" w:rsidRPr="00B602E4">
        <w:rPr>
          <w:rFonts w:ascii="Arial" w:hAnsi="Arial"/>
          <w:sz w:val="20"/>
          <w:lang w:val="en-GB"/>
        </w:rPr>
        <w:t xml:space="preserve">nsure that suspects are informed of their rights at the very moment of apprehension as well </w:t>
      </w:r>
      <w:r w:rsidR="00B602E4">
        <w:rPr>
          <w:rFonts w:ascii="Arial" w:hAnsi="Arial"/>
          <w:sz w:val="20"/>
          <w:lang w:val="en-GB"/>
        </w:rPr>
        <w:t>as reasons for their detention” (Recommendation</w:t>
      </w:r>
      <w:r w:rsidR="00B602E4" w:rsidRPr="00B602E4">
        <w:rPr>
          <w:rFonts w:ascii="Arial" w:hAnsi="Arial"/>
          <w:sz w:val="20"/>
          <w:lang w:val="en-GB"/>
        </w:rPr>
        <w:t xml:space="preserve"> 8 (c))</w:t>
      </w:r>
      <w:r w:rsidR="00B602E4">
        <w:rPr>
          <w:rFonts w:ascii="Arial" w:hAnsi="Arial"/>
          <w:sz w:val="20"/>
          <w:lang w:val="en-GB"/>
        </w:rPr>
        <w:t>.</w:t>
      </w:r>
    </w:p>
    <w:p w:rsidR="00696FA7" w:rsidRDefault="00696FA7" w:rsidP="008B7D16">
      <w:pPr>
        <w:jc w:val="both"/>
        <w:rPr>
          <w:rFonts w:ascii="Arial" w:hAnsi="Arial"/>
          <w:sz w:val="20"/>
        </w:rPr>
      </w:pPr>
    </w:p>
    <w:p w:rsidR="00AC6F80" w:rsidRDefault="00696FA7" w:rsidP="008B7D16">
      <w:pPr>
        <w:jc w:val="both"/>
        <w:rPr>
          <w:rFonts w:ascii="Arial" w:eastAsia="Cambria" w:hAnsi="Arial" w:cs="Times New Roman"/>
          <w:sz w:val="20"/>
          <w:lang w:val="fr-FR"/>
        </w:rPr>
      </w:pPr>
      <w:r>
        <w:rPr>
          <w:rFonts w:ascii="Arial" w:hAnsi="Arial"/>
          <w:sz w:val="20"/>
          <w:lang w:val="fr-FR"/>
        </w:rPr>
        <w:t>T</w:t>
      </w:r>
      <w:r w:rsidR="00787C13">
        <w:rPr>
          <w:rFonts w:ascii="Arial" w:hAnsi="Arial"/>
          <w:sz w:val="20"/>
          <w:lang w:val="fr-FR"/>
        </w:rPr>
        <w:t xml:space="preserve">he </w:t>
      </w:r>
      <w:r>
        <w:rPr>
          <w:rFonts w:ascii="Arial" w:hAnsi="Arial"/>
          <w:sz w:val="20"/>
          <w:lang w:val="fr-FR"/>
        </w:rPr>
        <w:t>CPC</w:t>
      </w:r>
      <w:r w:rsidR="00787C13">
        <w:rPr>
          <w:rFonts w:ascii="Arial" w:hAnsi="Arial"/>
          <w:sz w:val="20"/>
          <w:lang w:val="fr-FR"/>
        </w:rPr>
        <w:t xml:space="preserve"> does not require police to </w:t>
      </w:r>
      <w:r w:rsidR="00787C13" w:rsidRPr="0002771D">
        <w:rPr>
          <w:rFonts w:ascii="Arial" w:eastAsia="Cambria" w:hAnsi="Arial" w:cs="Times New Roman"/>
          <w:sz w:val="20"/>
          <w:lang w:val="fr-FR"/>
        </w:rPr>
        <w:t>include the identity of the arresting officers in the</w:t>
      </w:r>
      <w:r w:rsidR="00787C13" w:rsidRPr="00696FA7">
        <w:rPr>
          <w:rFonts w:ascii="Arial" w:eastAsia="Cambria" w:hAnsi="Arial" w:cs="Times New Roman"/>
          <w:b/>
          <w:sz w:val="20"/>
          <w:lang w:val="fr-FR"/>
        </w:rPr>
        <w:t xml:space="preserve"> detention record</w:t>
      </w:r>
      <w:r w:rsidR="00787C13">
        <w:rPr>
          <w:rFonts w:ascii="Arial" w:eastAsia="Cambria" w:hAnsi="Arial" w:cs="Times New Roman"/>
          <w:sz w:val="20"/>
          <w:lang w:val="fr-FR"/>
        </w:rPr>
        <w:t xml:space="preserve">, thus facilitating impunity. </w:t>
      </w:r>
      <w:r w:rsidR="006F64B3">
        <w:rPr>
          <w:rFonts w:ascii="Arial" w:eastAsia="Cambria" w:hAnsi="Arial" w:cs="Times New Roman"/>
          <w:sz w:val="20"/>
          <w:lang w:val="fr-FR"/>
        </w:rPr>
        <w:t>Both the Committee against Torture and the S</w:t>
      </w:r>
      <w:r w:rsidR="0067427A">
        <w:rPr>
          <w:rFonts w:ascii="Arial" w:eastAsia="Cambria" w:hAnsi="Arial" w:cs="Times New Roman"/>
          <w:sz w:val="20"/>
          <w:lang w:val="fr-FR"/>
        </w:rPr>
        <w:t>pecial Rapporteur on torture</w:t>
      </w:r>
      <w:r w:rsidR="006F64B3">
        <w:rPr>
          <w:rFonts w:ascii="Arial" w:eastAsia="Cambria" w:hAnsi="Arial" w:cs="Times New Roman"/>
          <w:sz w:val="20"/>
          <w:lang w:val="fr-FR"/>
        </w:rPr>
        <w:t xml:space="preserve"> called on Tajiksitan to ensure that detention is recorded from the very moment when a person is deprived of liberty and that, among other issues, the identity of the a</w:t>
      </w:r>
      <w:r w:rsidR="007F7DF9">
        <w:rPr>
          <w:rFonts w:ascii="Arial" w:eastAsia="Cambria" w:hAnsi="Arial" w:cs="Times New Roman"/>
          <w:sz w:val="20"/>
          <w:lang w:val="fr-FR"/>
        </w:rPr>
        <w:t>rresting officer/s is recorded.</w:t>
      </w:r>
    </w:p>
    <w:p w:rsidR="00AC6F80" w:rsidRDefault="00AC6F80" w:rsidP="008B7D16">
      <w:pPr>
        <w:jc w:val="both"/>
        <w:rPr>
          <w:rFonts w:ascii="Arial" w:eastAsia="Cambria" w:hAnsi="Arial" w:cs="Times New Roman"/>
          <w:sz w:val="20"/>
          <w:lang w:val="fr-FR"/>
        </w:rPr>
      </w:pPr>
    </w:p>
    <w:p w:rsidR="00282E96" w:rsidRPr="00A86463" w:rsidRDefault="00AC6F80" w:rsidP="00D16171">
      <w:pPr>
        <w:jc w:val="both"/>
        <w:rPr>
          <w:rFonts w:ascii="Arial" w:hAnsi="Arial"/>
          <w:sz w:val="20"/>
        </w:rPr>
      </w:pPr>
      <w:r>
        <w:rPr>
          <w:rFonts w:ascii="Arial" w:hAnsi="Arial"/>
          <w:sz w:val="20"/>
        </w:rPr>
        <w:t xml:space="preserve">The CPC stipulates that </w:t>
      </w:r>
      <w:r w:rsidRPr="00653E55">
        <w:rPr>
          <w:rFonts w:ascii="Arial" w:hAnsi="Arial"/>
          <w:b/>
          <w:sz w:val="20"/>
        </w:rPr>
        <w:t>family</w:t>
      </w:r>
      <w:r>
        <w:rPr>
          <w:rFonts w:ascii="Arial" w:hAnsi="Arial"/>
          <w:sz w:val="20"/>
        </w:rPr>
        <w:t xml:space="preserve"> members should be notified of the detention and the detainee’s whereabouts</w:t>
      </w:r>
      <w:r w:rsidR="00653E55">
        <w:rPr>
          <w:rFonts w:ascii="Arial" w:hAnsi="Arial"/>
          <w:sz w:val="20"/>
        </w:rPr>
        <w:t xml:space="preserve"> within 12 hours of apprehension</w:t>
      </w:r>
      <w:r>
        <w:rPr>
          <w:rFonts w:ascii="Arial" w:hAnsi="Arial"/>
          <w:sz w:val="20"/>
        </w:rPr>
        <w:t xml:space="preserve">, either by police or the detainee (Article 100, part 1). </w:t>
      </w:r>
      <w:r w:rsidR="00653E55">
        <w:rPr>
          <w:rFonts w:ascii="Arial" w:hAnsi="Arial"/>
          <w:sz w:val="20"/>
        </w:rPr>
        <w:t xml:space="preserve">The Committee against Torture called on Tajikistan to “repeal </w:t>
      </w:r>
      <w:r w:rsidR="00653E55" w:rsidRPr="00653E55">
        <w:rPr>
          <w:rFonts w:ascii="Arial" w:hAnsi="Arial"/>
          <w:sz w:val="20"/>
          <w:lang w:val="en-GB"/>
        </w:rPr>
        <w:t>the 12-hour period for notification of arrest by law enforcement officers to family members</w:t>
      </w:r>
      <w:r w:rsidR="00653E55">
        <w:rPr>
          <w:rFonts w:ascii="Arial" w:hAnsi="Arial"/>
          <w:sz w:val="20"/>
          <w:lang w:val="en-GB"/>
        </w:rPr>
        <w:t>”</w:t>
      </w:r>
      <w:r w:rsidR="00653E55" w:rsidRPr="00653E55">
        <w:rPr>
          <w:rFonts w:ascii="Arial" w:hAnsi="Arial"/>
          <w:sz w:val="20"/>
          <w:lang w:val="en-GB"/>
        </w:rPr>
        <w:t xml:space="preserve"> (</w:t>
      </w:r>
      <w:r w:rsidR="00653E55">
        <w:rPr>
          <w:rFonts w:ascii="Arial" w:hAnsi="Arial"/>
          <w:sz w:val="20"/>
          <w:lang w:val="en-GB"/>
        </w:rPr>
        <w:t>Recommendation</w:t>
      </w:r>
      <w:r w:rsidR="00653E55" w:rsidRPr="00653E55">
        <w:rPr>
          <w:rFonts w:ascii="Arial" w:hAnsi="Arial"/>
          <w:sz w:val="20"/>
          <w:lang w:val="en-GB"/>
        </w:rPr>
        <w:t xml:space="preserve"> 8 (g))</w:t>
      </w:r>
      <w:r w:rsidR="00653E55">
        <w:rPr>
          <w:rFonts w:ascii="Arial" w:hAnsi="Arial"/>
          <w:sz w:val="20"/>
          <w:lang w:val="en-GB"/>
        </w:rPr>
        <w:t xml:space="preserve">. </w:t>
      </w:r>
      <w:r w:rsidR="00975469">
        <w:rPr>
          <w:rFonts w:ascii="Arial" w:hAnsi="Arial"/>
          <w:sz w:val="20"/>
          <w:lang w:val="en-GB"/>
        </w:rPr>
        <w:t>The Human Rights Committee has recommended that detainees must be permitted to contact their families from the moment of apprehension.</w:t>
      </w:r>
      <w:r w:rsidR="00800473">
        <w:rPr>
          <w:rStyle w:val="a7"/>
          <w:rFonts w:ascii="Arial" w:hAnsi="Arial"/>
          <w:sz w:val="20"/>
          <w:lang w:val="en-GB"/>
        </w:rPr>
        <w:footnoteReference w:id="6"/>
      </w:r>
      <w:r w:rsidR="00975469">
        <w:rPr>
          <w:rFonts w:ascii="Arial" w:hAnsi="Arial"/>
          <w:sz w:val="20"/>
          <w:lang w:val="en-GB"/>
        </w:rPr>
        <w:t xml:space="preserve"> </w:t>
      </w:r>
      <w:r w:rsidR="00975469">
        <w:rPr>
          <w:rFonts w:ascii="Arial" w:hAnsi="Arial"/>
          <w:sz w:val="20"/>
        </w:rPr>
        <w:t xml:space="preserve">In the current context in Tajikistan </w:t>
      </w:r>
      <w:r w:rsidR="00165649">
        <w:rPr>
          <w:rFonts w:ascii="Arial" w:hAnsi="Arial"/>
          <w:sz w:val="20"/>
        </w:rPr>
        <w:t xml:space="preserve">notification of family is a particularly </w:t>
      </w:r>
      <w:r w:rsidR="00E02C8F">
        <w:rPr>
          <w:rFonts w:ascii="Arial" w:hAnsi="Arial"/>
          <w:sz w:val="20"/>
        </w:rPr>
        <w:t>important</w:t>
      </w:r>
      <w:r w:rsidR="00165649">
        <w:rPr>
          <w:rFonts w:ascii="Arial" w:hAnsi="Arial"/>
          <w:sz w:val="20"/>
        </w:rPr>
        <w:t xml:space="preserve"> safeguard as family members </w:t>
      </w:r>
      <w:r w:rsidR="00652594">
        <w:rPr>
          <w:rFonts w:ascii="Arial" w:hAnsi="Arial"/>
          <w:sz w:val="20"/>
        </w:rPr>
        <w:t>in many cases</w:t>
      </w:r>
      <w:r w:rsidR="00165649">
        <w:rPr>
          <w:rFonts w:ascii="Arial" w:hAnsi="Arial"/>
          <w:sz w:val="20"/>
        </w:rPr>
        <w:t xml:space="preserve"> </w:t>
      </w:r>
      <w:r w:rsidR="00792903">
        <w:rPr>
          <w:rFonts w:ascii="Arial" w:hAnsi="Arial"/>
          <w:sz w:val="20"/>
        </w:rPr>
        <w:t>try to contract</w:t>
      </w:r>
      <w:r w:rsidR="00165649">
        <w:rPr>
          <w:rFonts w:ascii="Arial" w:hAnsi="Arial"/>
          <w:sz w:val="20"/>
        </w:rPr>
        <w:t xml:space="preserve"> a</w:t>
      </w:r>
      <w:r w:rsidR="00E02C8F">
        <w:rPr>
          <w:rFonts w:ascii="Arial" w:hAnsi="Arial"/>
          <w:sz w:val="20"/>
        </w:rPr>
        <w:t>n independent</w:t>
      </w:r>
      <w:r w:rsidR="00165649">
        <w:rPr>
          <w:rFonts w:ascii="Arial" w:hAnsi="Arial"/>
          <w:sz w:val="20"/>
        </w:rPr>
        <w:t xml:space="preserve"> lawyer</w:t>
      </w:r>
      <w:r w:rsidR="00E02C8F">
        <w:rPr>
          <w:rFonts w:ascii="Arial" w:hAnsi="Arial"/>
          <w:sz w:val="20"/>
        </w:rPr>
        <w:t xml:space="preserve"> </w:t>
      </w:r>
      <w:r w:rsidR="00792903">
        <w:rPr>
          <w:rFonts w:ascii="Arial" w:hAnsi="Arial"/>
          <w:sz w:val="20"/>
        </w:rPr>
        <w:t>for the detainee and prevent them being issues with an ex officio (state-appointed) lawyer who, as is often the case, may be a lawyer hand-picked</w:t>
      </w:r>
      <w:r w:rsidR="00EC5059">
        <w:rPr>
          <w:rFonts w:ascii="Arial" w:hAnsi="Arial"/>
          <w:sz w:val="20"/>
        </w:rPr>
        <w:t xml:space="preserve"> by</w:t>
      </w:r>
      <w:r w:rsidR="00792903">
        <w:rPr>
          <w:rFonts w:ascii="Arial" w:hAnsi="Arial"/>
          <w:sz w:val="20"/>
        </w:rPr>
        <w:t xml:space="preserve"> </w:t>
      </w:r>
      <w:r w:rsidR="00E02C8F">
        <w:rPr>
          <w:rFonts w:ascii="Arial" w:hAnsi="Arial"/>
          <w:sz w:val="20"/>
        </w:rPr>
        <w:t xml:space="preserve">investigators </w:t>
      </w:r>
      <w:r w:rsidR="00792903">
        <w:rPr>
          <w:rFonts w:ascii="Arial" w:hAnsi="Arial"/>
          <w:sz w:val="20"/>
        </w:rPr>
        <w:t xml:space="preserve">in the knowledge that this particular lawyer will </w:t>
      </w:r>
      <w:r w:rsidR="00E02C8F">
        <w:rPr>
          <w:rFonts w:ascii="Arial" w:hAnsi="Arial"/>
          <w:sz w:val="20"/>
        </w:rPr>
        <w:t>put up a weak defence</w:t>
      </w:r>
      <w:r w:rsidR="00792903">
        <w:rPr>
          <w:rFonts w:ascii="Arial" w:hAnsi="Arial"/>
          <w:sz w:val="20"/>
        </w:rPr>
        <w:t xml:space="preserve"> and may be inclined to overlook ill-treatment</w:t>
      </w:r>
      <w:r w:rsidR="00E02C8F">
        <w:rPr>
          <w:rFonts w:ascii="Arial" w:hAnsi="Arial"/>
          <w:sz w:val="20"/>
        </w:rPr>
        <w:t xml:space="preserve">. </w:t>
      </w:r>
    </w:p>
    <w:p w:rsidR="00F347DE" w:rsidRDefault="00F347DE" w:rsidP="008B7D16">
      <w:pPr>
        <w:jc w:val="both"/>
        <w:rPr>
          <w:rFonts w:ascii="Arial" w:eastAsia="Cambria" w:hAnsi="Arial" w:cs="Times New Roman"/>
          <w:sz w:val="20"/>
          <w:lang w:val="fr-FR"/>
        </w:rPr>
      </w:pPr>
    </w:p>
    <w:p w:rsidR="00F71092" w:rsidRDefault="00F347DE" w:rsidP="008B7D16">
      <w:pPr>
        <w:jc w:val="both"/>
        <w:rPr>
          <w:rFonts w:ascii="Arial" w:eastAsia="Cambria" w:hAnsi="Arial" w:cs="Times New Roman"/>
          <w:sz w:val="20"/>
          <w:lang w:val="fr-FR"/>
        </w:rPr>
      </w:pPr>
      <w:r>
        <w:rPr>
          <w:rFonts w:ascii="Arial" w:eastAsia="Cambria" w:hAnsi="Arial" w:cs="Times New Roman"/>
          <w:sz w:val="20"/>
          <w:lang w:val="fr-FR"/>
        </w:rPr>
        <w:t xml:space="preserve">Domestic legislation stipulates that </w:t>
      </w:r>
      <w:r w:rsidRPr="0002771D">
        <w:rPr>
          <w:rFonts w:ascii="Arial" w:eastAsia="Cambria" w:hAnsi="Arial" w:cs="Times New Roman"/>
          <w:b/>
          <w:sz w:val="20"/>
          <w:lang w:val="fr-FR"/>
        </w:rPr>
        <w:t>remand hearings</w:t>
      </w:r>
      <w:r>
        <w:rPr>
          <w:rFonts w:ascii="Arial" w:eastAsia="Cambria" w:hAnsi="Arial" w:cs="Times New Roman"/>
          <w:sz w:val="20"/>
          <w:lang w:val="fr-FR"/>
        </w:rPr>
        <w:t xml:space="preserve"> should take place no later than 72 hours after a person is taken into custody. In practice detainees are often brought before a judge later than the 72-hour limit because the </w:t>
      </w:r>
      <w:r w:rsidR="009F77B4">
        <w:rPr>
          <w:rFonts w:ascii="Arial" w:eastAsia="Cambria" w:hAnsi="Arial" w:cs="Times New Roman"/>
          <w:sz w:val="20"/>
          <w:lang w:val="fr-FR"/>
        </w:rPr>
        <w:t>time is counted as of the moment when the detention record is drawn up rather than the actual moment of deprivation of liberty. In addition, Article 111, part 5 of the CPC allows courts to extend the 72-hour</w:t>
      </w:r>
      <w:r w:rsidR="00844115">
        <w:rPr>
          <w:rFonts w:ascii="Arial" w:eastAsia="Cambria" w:hAnsi="Arial" w:cs="Times New Roman"/>
          <w:sz w:val="20"/>
          <w:lang w:val="fr-FR"/>
        </w:rPr>
        <w:t xml:space="preserve"> limit for an unlimited </w:t>
      </w:r>
      <w:r w:rsidR="005B43A1">
        <w:rPr>
          <w:rFonts w:ascii="Arial" w:eastAsia="Cambria" w:hAnsi="Arial" w:cs="Times New Roman"/>
          <w:sz w:val="20"/>
          <w:lang w:val="fr-FR"/>
        </w:rPr>
        <w:t>number of times</w:t>
      </w:r>
      <w:r w:rsidR="00BC5B6E">
        <w:rPr>
          <w:rFonts w:ascii="Arial" w:eastAsia="Cambria" w:hAnsi="Arial" w:cs="Times New Roman"/>
          <w:sz w:val="20"/>
          <w:lang w:val="fr-FR"/>
        </w:rPr>
        <w:t xml:space="preserve"> in order to give </w:t>
      </w:r>
      <w:r w:rsidR="00844115">
        <w:rPr>
          <w:rFonts w:ascii="Arial" w:eastAsia="Cambria" w:hAnsi="Arial" w:cs="Times New Roman"/>
          <w:sz w:val="20"/>
          <w:lang w:val="fr-FR"/>
        </w:rPr>
        <w:t xml:space="preserve">police </w:t>
      </w:r>
      <w:r w:rsidR="00BC5B6E">
        <w:rPr>
          <w:rFonts w:ascii="Arial" w:eastAsia="Cambria" w:hAnsi="Arial" w:cs="Times New Roman"/>
          <w:sz w:val="20"/>
          <w:lang w:val="fr-FR"/>
        </w:rPr>
        <w:t xml:space="preserve">additional time </w:t>
      </w:r>
      <w:r w:rsidR="00844115">
        <w:rPr>
          <w:rFonts w:ascii="Arial" w:eastAsia="Cambria" w:hAnsi="Arial" w:cs="Times New Roman"/>
          <w:sz w:val="20"/>
          <w:lang w:val="fr-FR"/>
        </w:rPr>
        <w:t>to provide further grounds justifying remand</w:t>
      </w:r>
      <w:r w:rsidR="009F77B4">
        <w:rPr>
          <w:rFonts w:ascii="Arial" w:eastAsia="Cambria" w:hAnsi="Arial" w:cs="Times New Roman"/>
          <w:sz w:val="20"/>
          <w:lang w:val="fr-FR"/>
        </w:rPr>
        <w:t xml:space="preserve">. </w:t>
      </w:r>
    </w:p>
    <w:p w:rsidR="00F71092" w:rsidRDefault="00F71092" w:rsidP="008B7D16">
      <w:pPr>
        <w:jc w:val="both"/>
        <w:rPr>
          <w:rFonts w:ascii="Arial" w:eastAsia="Cambria" w:hAnsi="Arial" w:cs="Times New Roman"/>
          <w:sz w:val="20"/>
          <w:lang w:val="fr-FR"/>
        </w:rPr>
      </w:pPr>
    </w:p>
    <w:p w:rsidR="00B3683E" w:rsidRDefault="009F77B4" w:rsidP="008B7D16">
      <w:pPr>
        <w:jc w:val="both"/>
        <w:rPr>
          <w:rFonts w:ascii="Arial" w:hAnsi="Arial"/>
          <w:sz w:val="20"/>
        </w:rPr>
      </w:pPr>
      <w:r>
        <w:rPr>
          <w:rFonts w:ascii="Arial" w:eastAsia="Cambria" w:hAnsi="Arial" w:cs="Times New Roman"/>
          <w:sz w:val="20"/>
          <w:lang w:val="fr-FR"/>
        </w:rPr>
        <w:t xml:space="preserve">In </w:t>
      </w:r>
      <w:r w:rsidR="00B90665">
        <w:rPr>
          <w:rFonts w:ascii="Arial" w:eastAsia="Cambria" w:hAnsi="Arial" w:cs="Times New Roman"/>
          <w:sz w:val="20"/>
          <w:lang w:val="fr-FR"/>
        </w:rPr>
        <w:t>2013,</w:t>
      </w:r>
      <w:r>
        <w:rPr>
          <w:rFonts w:ascii="Arial" w:eastAsia="Cambria" w:hAnsi="Arial" w:cs="Times New Roman"/>
          <w:sz w:val="20"/>
          <w:lang w:val="fr-FR"/>
        </w:rPr>
        <w:t xml:space="preserve"> the UN Human Rights Committee recommended Tajikistan to </w:t>
      </w:r>
      <w:r>
        <w:rPr>
          <w:rFonts w:ascii="Arial" w:hAnsi="Arial"/>
          <w:sz w:val="20"/>
        </w:rPr>
        <w:t>“</w:t>
      </w:r>
      <w:r w:rsidRPr="0002771D">
        <w:rPr>
          <w:rFonts w:ascii="Arial" w:hAnsi="Arial"/>
          <w:sz w:val="20"/>
        </w:rPr>
        <w:t>ensure that persons in police custody are brought before a judge within a maximum period of 48 hours</w:t>
      </w:r>
      <w:r w:rsidR="00936E0A">
        <w:rPr>
          <w:rFonts w:ascii="Arial" w:hAnsi="Arial"/>
          <w:sz w:val="20"/>
        </w:rPr>
        <w:t>.”</w:t>
      </w:r>
      <w:r>
        <w:rPr>
          <w:rFonts w:ascii="Arial" w:hAnsi="Arial"/>
          <w:sz w:val="20"/>
        </w:rPr>
        <w:t xml:space="preserve"> </w:t>
      </w:r>
      <w:r w:rsidR="005A0BC5">
        <w:rPr>
          <w:rFonts w:ascii="Arial" w:hAnsi="Arial"/>
          <w:sz w:val="20"/>
          <w:lang w:val="en-GB"/>
        </w:rPr>
        <w:t>In addition, it called on Tajikistan to ensure “</w:t>
      </w:r>
      <w:r w:rsidR="005A0BC5" w:rsidRPr="003330DD">
        <w:rPr>
          <w:rFonts w:ascii="Arial" w:hAnsi="Arial"/>
          <w:sz w:val="20"/>
          <w:lang w:val="en-GB"/>
        </w:rPr>
        <w:t>that periods of pretrial detention cannot be extended when the prosecution has failed to present well-founded grounds for the person to remain in custody</w:t>
      </w:r>
      <w:r w:rsidR="005A0BC5">
        <w:rPr>
          <w:rFonts w:ascii="Arial" w:hAnsi="Arial"/>
          <w:sz w:val="20"/>
          <w:lang w:val="en-GB"/>
        </w:rPr>
        <w:t>” (Recommendation</w:t>
      </w:r>
      <w:r w:rsidR="005A0BC5" w:rsidRPr="003330DD">
        <w:rPr>
          <w:rFonts w:ascii="Arial" w:hAnsi="Arial"/>
          <w:sz w:val="20"/>
          <w:lang w:val="en-GB"/>
        </w:rPr>
        <w:t xml:space="preserve"> 8 (h))</w:t>
      </w:r>
      <w:r w:rsidR="005A0BC5">
        <w:rPr>
          <w:rFonts w:ascii="Arial" w:hAnsi="Arial"/>
          <w:sz w:val="20"/>
          <w:lang w:val="en-GB"/>
        </w:rPr>
        <w:t>.</w:t>
      </w:r>
    </w:p>
    <w:p w:rsidR="00F5468C" w:rsidRDefault="00F5468C" w:rsidP="00F5468C">
      <w:pPr>
        <w:jc w:val="both"/>
        <w:rPr>
          <w:rFonts w:ascii="Arial" w:hAnsi="Arial"/>
          <w:sz w:val="20"/>
        </w:rPr>
      </w:pPr>
    </w:p>
    <w:p w:rsidR="00B3683E" w:rsidRDefault="00F5468C" w:rsidP="008B7D16">
      <w:pPr>
        <w:jc w:val="both"/>
        <w:rPr>
          <w:rFonts w:ascii="Arial" w:hAnsi="Arial"/>
          <w:sz w:val="20"/>
        </w:rPr>
      </w:pPr>
      <w:r>
        <w:rPr>
          <w:rFonts w:ascii="Arial" w:hAnsi="Arial"/>
          <w:sz w:val="20"/>
        </w:rPr>
        <w:t xml:space="preserve">We are concerned that </w:t>
      </w:r>
      <w:r w:rsidR="00C06A7A">
        <w:rPr>
          <w:rFonts w:ascii="Arial" w:hAnsi="Arial"/>
          <w:sz w:val="20"/>
        </w:rPr>
        <w:t>domestic</w:t>
      </w:r>
      <w:r>
        <w:rPr>
          <w:rFonts w:ascii="Arial" w:hAnsi="Arial"/>
          <w:sz w:val="20"/>
        </w:rPr>
        <w:t xml:space="preserve"> legislation does not require judges at remand hearing</w:t>
      </w:r>
      <w:r w:rsidR="00F94721">
        <w:rPr>
          <w:rFonts w:ascii="Arial" w:hAnsi="Arial"/>
          <w:sz w:val="20"/>
        </w:rPr>
        <w:t>s</w:t>
      </w:r>
      <w:r>
        <w:rPr>
          <w:rFonts w:ascii="Arial" w:hAnsi="Arial"/>
          <w:sz w:val="20"/>
        </w:rPr>
        <w:t xml:space="preserve"> to inquire into </w:t>
      </w:r>
      <w:r w:rsidR="008D2114">
        <w:rPr>
          <w:rFonts w:ascii="Arial" w:hAnsi="Arial"/>
          <w:sz w:val="20"/>
        </w:rPr>
        <w:t xml:space="preserve">the allegations made by </w:t>
      </w:r>
      <w:r>
        <w:rPr>
          <w:rFonts w:ascii="Arial" w:hAnsi="Arial"/>
          <w:sz w:val="20"/>
        </w:rPr>
        <w:t>detainees</w:t>
      </w:r>
      <w:r w:rsidR="008D2114">
        <w:rPr>
          <w:rFonts w:ascii="Arial" w:hAnsi="Arial"/>
          <w:sz w:val="20"/>
        </w:rPr>
        <w:t xml:space="preserve"> of torture or ill-treatment, even when</w:t>
      </w:r>
      <w:r>
        <w:rPr>
          <w:rFonts w:ascii="Arial" w:hAnsi="Arial"/>
          <w:sz w:val="20"/>
        </w:rPr>
        <w:t xml:space="preserve"> there </w:t>
      </w:r>
      <w:r w:rsidR="002F3F78">
        <w:rPr>
          <w:rFonts w:ascii="Arial" w:hAnsi="Arial"/>
          <w:sz w:val="20"/>
        </w:rPr>
        <w:t>are</w:t>
      </w:r>
      <w:r>
        <w:rPr>
          <w:rFonts w:ascii="Arial" w:hAnsi="Arial"/>
          <w:sz w:val="20"/>
        </w:rPr>
        <w:t xml:space="preserve"> signs that a detainee was subjected to </w:t>
      </w:r>
      <w:r w:rsidR="008D2114">
        <w:rPr>
          <w:rFonts w:ascii="Arial" w:hAnsi="Arial"/>
          <w:sz w:val="20"/>
        </w:rPr>
        <w:t xml:space="preserve">physical violence or </w:t>
      </w:r>
      <w:r>
        <w:rPr>
          <w:rFonts w:ascii="Arial" w:hAnsi="Arial"/>
          <w:sz w:val="20"/>
        </w:rPr>
        <w:t xml:space="preserve">other ill-treatment. In practice, judges typically disregard such allegations and simply refer alleged victims and their lawyers to the prosecutor to lodge a complaint instead of ordering a prompt </w:t>
      </w:r>
      <w:r w:rsidR="00E743CD">
        <w:rPr>
          <w:rFonts w:ascii="Arial" w:hAnsi="Arial"/>
          <w:sz w:val="20"/>
        </w:rPr>
        <w:t xml:space="preserve">and exhaustive </w:t>
      </w:r>
      <w:r>
        <w:rPr>
          <w:rFonts w:ascii="Arial" w:hAnsi="Arial"/>
          <w:sz w:val="20"/>
        </w:rPr>
        <w:t>investigation, including a medical examination, into the allegations themselves.</w:t>
      </w:r>
    </w:p>
    <w:p w:rsidR="00B3683E" w:rsidRDefault="00B3683E" w:rsidP="008B7D16">
      <w:pPr>
        <w:jc w:val="both"/>
        <w:rPr>
          <w:rFonts w:ascii="Arial" w:hAnsi="Arial"/>
          <w:sz w:val="20"/>
        </w:rPr>
      </w:pPr>
    </w:p>
    <w:p w:rsidR="003330DD" w:rsidRPr="00046E6B" w:rsidRDefault="00F5468C" w:rsidP="008D2114">
      <w:pPr>
        <w:jc w:val="both"/>
        <w:rPr>
          <w:rFonts w:ascii="Arial" w:hAnsi="Arial"/>
          <w:sz w:val="20"/>
        </w:rPr>
      </w:pPr>
      <w:r>
        <w:rPr>
          <w:rFonts w:ascii="Arial" w:hAnsi="Arial"/>
          <w:sz w:val="20"/>
        </w:rPr>
        <w:t>I</w:t>
      </w:r>
      <w:r w:rsidR="004A1250">
        <w:rPr>
          <w:rFonts w:ascii="Arial" w:hAnsi="Arial"/>
          <w:sz w:val="20"/>
        </w:rPr>
        <w:t xml:space="preserve">n line with </w:t>
      </w:r>
      <w:r w:rsidR="00844115">
        <w:rPr>
          <w:rFonts w:ascii="Arial" w:hAnsi="Arial"/>
          <w:sz w:val="20"/>
        </w:rPr>
        <w:t xml:space="preserve">Article 111, part 1 of the CPC, </w:t>
      </w:r>
      <w:r w:rsidR="004A1250">
        <w:rPr>
          <w:rFonts w:ascii="Arial" w:hAnsi="Arial"/>
          <w:sz w:val="20"/>
        </w:rPr>
        <w:t xml:space="preserve">judges </w:t>
      </w:r>
      <w:r w:rsidR="008D2114">
        <w:rPr>
          <w:rFonts w:ascii="Arial" w:hAnsi="Arial"/>
          <w:sz w:val="20"/>
        </w:rPr>
        <w:t xml:space="preserve">can </w:t>
      </w:r>
      <w:r w:rsidR="004A1250">
        <w:rPr>
          <w:rFonts w:ascii="Arial" w:hAnsi="Arial"/>
          <w:sz w:val="20"/>
        </w:rPr>
        <w:t xml:space="preserve">order </w:t>
      </w:r>
      <w:r w:rsidR="004A1250" w:rsidRPr="00116DEC">
        <w:rPr>
          <w:rFonts w:ascii="Arial" w:hAnsi="Arial"/>
          <w:b/>
          <w:sz w:val="20"/>
        </w:rPr>
        <w:t>pre-trial detention</w:t>
      </w:r>
      <w:r w:rsidR="004A1250">
        <w:rPr>
          <w:rFonts w:ascii="Arial" w:hAnsi="Arial"/>
          <w:sz w:val="20"/>
        </w:rPr>
        <w:t xml:space="preserve"> based on the gravity of the</w:t>
      </w:r>
      <w:r w:rsidR="008D2114">
        <w:rPr>
          <w:rFonts w:ascii="Arial" w:hAnsi="Arial"/>
          <w:sz w:val="20"/>
        </w:rPr>
        <w:t>ir</w:t>
      </w:r>
      <w:r w:rsidR="004A1250">
        <w:rPr>
          <w:rFonts w:ascii="Arial" w:hAnsi="Arial"/>
          <w:sz w:val="20"/>
        </w:rPr>
        <w:t xml:space="preserve"> </w:t>
      </w:r>
      <w:r w:rsidR="008D2114">
        <w:rPr>
          <w:rFonts w:ascii="Arial" w:hAnsi="Arial"/>
          <w:sz w:val="20"/>
        </w:rPr>
        <w:t xml:space="preserve">alleged </w:t>
      </w:r>
      <w:r w:rsidR="004A1250">
        <w:rPr>
          <w:rFonts w:ascii="Arial" w:hAnsi="Arial"/>
          <w:sz w:val="20"/>
        </w:rPr>
        <w:t xml:space="preserve">crime </w:t>
      </w:r>
      <w:r w:rsidR="002534BF">
        <w:rPr>
          <w:rFonts w:ascii="Arial" w:hAnsi="Arial"/>
          <w:sz w:val="20"/>
        </w:rPr>
        <w:t>only</w:t>
      </w:r>
      <w:r w:rsidR="008D2114">
        <w:rPr>
          <w:rFonts w:ascii="Arial" w:hAnsi="Arial"/>
          <w:sz w:val="20"/>
        </w:rPr>
        <w:t xml:space="preserve"> (for any crime punishable by more than two years of imprisonment). The law does not require them to take </w:t>
      </w:r>
      <w:r w:rsidR="002534BF">
        <w:rPr>
          <w:rFonts w:ascii="Arial" w:hAnsi="Arial"/>
          <w:sz w:val="20"/>
        </w:rPr>
        <w:t>into account</w:t>
      </w:r>
      <w:r w:rsidR="00872ABE">
        <w:rPr>
          <w:rFonts w:ascii="Arial" w:hAnsi="Arial"/>
          <w:sz w:val="20"/>
        </w:rPr>
        <w:t xml:space="preserve"> </w:t>
      </w:r>
      <w:r w:rsidR="008D2114">
        <w:rPr>
          <w:rFonts w:ascii="Arial" w:hAnsi="Arial"/>
          <w:sz w:val="20"/>
        </w:rPr>
        <w:t xml:space="preserve">any </w:t>
      </w:r>
      <w:r w:rsidR="00872ABE">
        <w:rPr>
          <w:rFonts w:ascii="Arial" w:hAnsi="Arial"/>
          <w:sz w:val="20"/>
        </w:rPr>
        <w:t xml:space="preserve">other factors as well, such as whether the accused might cause harm to public safety, whether there is a risk of absconding or interference with the course of justice. </w:t>
      </w:r>
      <w:r w:rsidR="00046E6B">
        <w:rPr>
          <w:rFonts w:ascii="Arial" w:hAnsi="Arial"/>
          <w:sz w:val="20"/>
        </w:rPr>
        <w:t>In his 201</w:t>
      </w:r>
      <w:r w:rsidR="00DB4DE7">
        <w:rPr>
          <w:rFonts w:ascii="Arial" w:hAnsi="Arial"/>
          <w:sz w:val="20"/>
        </w:rPr>
        <w:t>3</w:t>
      </w:r>
      <w:r w:rsidR="00046E6B">
        <w:rPr>
          <w:rFonts w:ascii="Arial" w:hAnsi="Arial"/>
          <w:sz w:val="20"/>
        </w:rPr>
        <w:t xml:space="preserve"> annual report the Ombudsman of Tajikistan reported that judges a</w:t>
      </w:r>
      <w:r w:rsidR="00DB4DE7">
        <w:rPr>
          <w:rFonts w:ascii="Arial" w:hAnsi="Arial"/>
          <w:sz w:val="20"/>
        </w:rPr>
        <w:t>pproved</w:t>
      </w:r>
      <w:r w:rsidR="00046E6B">
        <w:rPr>
          <w:rFonts w:ascii="Arial" w:hAnsi="Arial"/>
          <w:sz w:val="20"/>
        </w:rPr>
        <w:t xml:space="preserve"> 9</w:t>
      </w:r>
      <w:r w:rsidR="00DB4DE7">
        <w:rPr>
          <w:rFonts w:ascii="Arial" w:hAnsi="Arial"/>
          <w:sz w:val="20"/>
        </w:rPr>
        <w:t>9</w:t>
      </w:r>
      <w:r w:rsidR="00844115">
        <w:rPr>
          <w:rFonts w:ascii="Arial" w:hAnsi="Arial"/>
          <w:sz w:val="20"/>
        </w:rPr>
        <w:t xml:space="preserve"> per cent</w:t>
      </w:r>
      <w:r w:rsidR="00046E6B">
        <w:rPr>
          <w:rFonts w:ascii="Arial" w:hAnsi="Arial"/>
          <w:sz w:val="20"/>
        </w:rPr>
        <w:t xml:space="preserve"> of </w:t>
      </w:r>
      <w:r w:rsidR="00DB4DE7">
        <w:rPr>
          <w:rFonts w:ascii="Arial" w:hAnsi="Arial"/>
          <w:sz w:val="20"/>
        </w:rPr>
        <w:t xml:space="preserve">all </w:t>
      </w:r>
      <w:r w:rsidR="00046E6B">
        <w:rPr>
          <w:rFonts w:ascii="Arial" w:hAnsi="Arial"/>
          <w:sz w:val="20"/>
        </w:rPr>
        <w:t>requests fo</w:t>
      </w:r>
      <w:r w:rsidR="00DB4DE7">
        <w:rPr>
          <w:rFonts w:ascii="Arial" w:hAnsi="Arial"/>
          <w:sz w:val="20"/>
        </w:rPr>
        <w:t>r pre-trial detention.</w:t>
      </w:r>
      <w:r w:rsidR="00046E6B">
        <w:rPr>
          <w:rFonts w:ascii="Arial" w:hAnsi="Arial"/>
          <w:sz w:val="20"/>
        </w:rPr>
        <w:t xml:space="preserve"> I</w:t>
      </w:r>
      <w:r w:rsidR="003330DD">
        <w:rPr>
          <w:rFonts w:ascii="Arial" w:hAnsi="Arial"/>
          <w:sz w:val="20"/>
        </w:rPr>
        <w:t xml:space="preserve">n </w:t>
      </w:r>
      <w:r w:rsidR="00D56657">
        <w:rPr>
          <w:rFonts w:ascii="Arial" w:hAnsi="Arial"/>
          <w:sz w:val="20"/>
        </w:rPr>
        <w:t>2012,</w:t>
      </w:r>
      <w:r w:rsidR="003330DD">
        <w:rPr>
          <w:rFonts w:ascii="Arial" w:hAnsi="Arial"/>
          <w:sz w:val="20"/>
        </w:rPr>
        <w:t xml:space="preserve"> the Committee against Torture recommended Tajikistan to “a</w:t>
      </w:r>
      <w:r w:rsidR="003330DD" w:rsidRPr="003330DD">
        <w:rPr>
          <w:rFonts w:ascii="Arial" w:hAnsi="Arial"/>
          <w:sz w:val="20"/>
          <w:lang w:val="en-GB"/>
        </w:rPr>
        <w:t>mend the CPC to ensure that pretrial detention is not authorized by courts based only on the gravity of the alleged crime</w:t>
      </w:r>
      <w:r w:rsidR="003330DD">
        <w:rPr>
          <w:rFonts w:ascii="Arial" w:hAnsi="Arial"/>
          <w:sz w:val="20"/>
          <w:lang w:val="en-GB"/>
        </w:rPr>
        <w:t xml:space="preserve">.” </w:t>
      </w:r>
    </w:p>
    <w:p w:rsidR="003808B3" w:rsidRPr="001724CA" w:rsidRDefault="003808B3" w:rsidP="008B7D16">
      <w:pPr>
        <w:jc w:val="both"/>
        <w:rPr>
          <w:rFonts w:ascii="Arial" w:hAnsi="Arial"/>
          <w:sz w:val="20"/>
        </w:rPr>
      </w:pPr>
    </w:p>
    <w:p w:rsidR="003A5E51" w:rsidRDefault="00495D79" w:rsidP="008B7D16">
      <w:pPr>
        <w:jc w:val="both"/>
        <w:rPr>
          <w:rFonts w:ascii="Arial" w:hAnsi="Arial"/>
          <w:sz w:val="20"/>
          <w:u w:val="single"/>
          <w:lang w:val="fr-FR"/>
        </w:rPr>
      </w:pPr>
      <w:r w:rsidRPr="00495D79">
        <w:rPr>
          <w:rFonts w:ascii="Arial" w:hAnsi="Arial"/>
          <w:sz w:val="20"/>
          <w:u w:val="single"/>
          <w:lang w:val="fr-FR"/>
        </w:rPr>
        <w:t>Introduce additional safeguards</w:t>
      </w:r>
    </w:p>
    <w:p w:rsidR="0009272D" w:rsidRDefault="00C52771" w:rsidP="008B7D16">
      <w:pPr>
        <w:jc w:val="both"/>
        <w:rPr>
          <w:rFonts w:ascii="Arial" w:hAnsi="Arial"/>
          <w:sz w:val="20"/>
        </w:rPr>
      </w:pPr>
      <w:r>
        <w:rPr>
          <w:rFonts w:ascii="Arial" w:hAnsi="Arial"/>
          <w:sz w:val="20"/>
        </w:rPr>
        <w:t>In June 2011</w:t>
      </w:r>
      <w:r w:rsidR="00850BD5">
        <w:rPr>
          <w:rFonts w:ascii="Arial" w:hAnsi="Arial"/>
          <w:sz w:val="20"/>
        </w:rPr>
        <w:t>,</w:t>
      </w:r>
      <w:r>
        <w:rPr>
          <w:rFonts w:ascii="Arial" w:hAnsi="Arial"/>
          <w:sz w:val="20"/>
        </w:rPr>
        <w:t xml:space="preserve"> the Law </w:t>
      </w:r>
      <w:r w:rsidR="003A5E51">
        <w:rPr>
          <w:rFonts w:ascii="Arial" w:hAnsi="Arial"/>
          <w:sz w:val="20"/>
        </w:rPr>
        <w:t xml:space="preserve">“On Detention Procedures and Conditions of Suspects, Accused Persons and Defendants” was adopted </w:t>
      </w:r>
      <w:r>
        <w:rPr>
          <w:rFonts w:ascii="Arial" w:hAnsi="Arial"/>
          <w:sz w:val="20"/>
        </w:rPr>
        <w:t>providing</w:t>
      </w:r>
      <w:r w:rsidR="003A5E51">
        <w:rPr>
          <w:rFonts w:ascii="Arial" w:hAnsi="Arial"/>
          <w:sz w:val="20"/>
        </w:rPr>
        <w:t xml:space="preserve"> for </w:t>
      </w:r>
      <w:r w:rsidR="003A5E51" w:rsidRPr="00C00814">
        <w:rPr>
          <w:rFonts w:ascii="Arial" w:hAnsi="Arial"/>
          <w:sz w:val="20"/>
        </w:rPr>
        <w:t>medical examinations upon admission to a place of detention</w:t>
      </w:r>
      <w:r w:rsidRPr="00C00814">
        <w:rPr>
          <w:rFonts w:ascii="Arial" w:hAnsi="Arial"/>
          <w:sz w:val="20"/>
        </w:rPr>
        <w:t xml:space="preserve">. However, the law states that </w:t>
      </w:r>
      <w:r w:rsidR="00C00814" w:rsidRPr="00C00814">
        <w:rPr>
          <w:rFonts w:ascii="Arial" w:hAnsi="Arial"/>
          <w:b/>
          <w:sz w:val="20"/>
        </w:rPr>
        <w:t>medical</w:t>
      </w:r>
      <w:r w:rsidRPr="00C00814">
        <w:rPr>
          <w:rFonts w:ascii="Arial" w:hAnsi="Arial"/>
          <w:b/>
          <w:sz w:val="20"/>
        </w:rPr>
        <w:t xml:space="preserve"> examinations</w:t>
      </w:r>
      <w:r w:rsidRPr="00C00814">
        <w:rPr>
          <w:rFonts w:ascii="Arial" w:hAnsi="Arial"/>
          <w:sz w:val="20"/>
        </w:rPr>
        <w:t xml:space="preserve"> should be </w:t>
      </w:r>
      <w:r w:rsidR="003A5E51" w:rsidRPr="00C00814">
        <w:rPr>
          <w:rFonts w:ascii="Arial" w:hAnsi="Arial"/>
          <w:sz w:val="20"/>
        </w:rPr>
        <w:t>conducted in line with internal regulations, which are not public.</w:t>
      </w:r>
      <w:r w:rsidR="003A5E51">
        <w:rPr>
          <w:rFonts w:ascii="Arial" w:hAnsi="Arial"/>
          <w:sz w:val="20"/>
        </w:rPr>
        <w:t xml:space="preserve"> </w:t>
      </w:r>
      <w:r>
        <w:rPr>
          <w:rFonts w:ascii="Arial" w:hAnsi="Arial"/>
          <w:sz w:val="20"/>
        </w:rPr>
        <w:t xml:space="preserve">As a result, the procedure and purpose of the examination remains unclear </w:t>
      </w:r>
      <w:r w:rsidR="00C00814">
        <w:rPr>
          <w:rFonts w:ascii="Arial" w:hAnsi="Arial"/>
          <w:sz w:val="20"/>
        </w:rPr>
        <w:t xml:space="preserve">and </w:t>
      </w:r>
      <w:r w:rsidR="00BD2759">
        <w:rPr>
          <w:rFonts w:ascii="Arial" w:hAnsi="Arial"/>
          <w:sz w:val="20"/>
        </w:rPr>
        <w:t xml:space="preserve">in practice detainees </w:t>
      </w:r>
      <w:r w:rsidR="00E62296">
        <w:rPr>
          <w:rFonts w:ascii="Arial" w:hAnsi="Arial"/>
          <w:sz w:val="20"/>
        </w:rPr>
        <w:t xml:space="preserve">still </w:t>
      </w:r>
      <w:r w:rsidR="00051DFD">
        <w:rPr>
          <w:rFonts w:ascii="Arial" w:hAnsi="Arial"/>
          <w:sz w:val="20"/>
        </w:rPr>
        <w:t xml:space="preserve">do not </w:t>
      </w:r>
      <w:r w:rsidR="00983515">
        <w:rPr>
          <w:rFonts w:ascii="Arial" w:hAnsi="Arial"/>
          <w:sz w:val="20"/>
        </w:rPr>
        <w:t xml:space="preserve">routinely </w:t>
      </w:r>
      <w:r w:rsidR="00051DFD">
        <w:rPr>
          <w:rFonts w:ascii="Arial" w:hAnsi="Arial"/>
          <w:sz w:val="20"/>
        </w:rPr>
        <w:t>un</w:t>
      </w:r>
      <w:r w:rsidR="00051DFD" w:rsidRPr="00051DFD">
        <w:rPr>
          <w:rFonts w:ascii="Arial" w:hAnsi="Arial"/>
          <w:sz w:val="20"/>
        </w:rPr>
        <w:t>dergo a medical examination upon admission to police stations and temporary detention</w:t>
      </w:r>
      <w:r w:rsidR="00CE3D2C">
        <w:rPr>
          <w:rFonts w:ascii="Arial" w:hAnsi="Arial"/>
          <w:sz w:val="20"/>
        </w:rPr>
        <w:t xml:space="preserve"> facilities (IVS). </w:t>
      </w:r>
      <w:r w:rsidR="0009272D">
        <w:rPr>
          <w:rFonts w:ascii="Arial" w:hAnsi="Arial"/>
          <w:sz w:val="20"/>
        </w:rPr>
        <w:t xml:space="preserve">There remains to be a serious lack of qualified medical personnel in police custody and pre-trial detention facilities. </w:t>
      </w:r>
    </w:p>
    <w:p w:rsidR="0009272D" w:rsidRDefault="0009272D" w:rsidP="008B7D16">
      <w:pPr>
        <w:jc w:val="both"/>
        <w:rPr>
          <w:rFonts w:ascii="Arial" w:hAnsi="Arial"/>
          <w:sz w:val="20"/>
        </w:rPr>
      </w:pPr>
    </w:p>
    <w:p w:rsidR="00F71092" w:rsidRDefault="00A61C7D" w:rsidP="008B7D16">
      <w:pPr>
        <w:jc w:val="both"/>
        <w:rPr>
          <w:rFonts w:ascii="Arial" w:hAnsi="Arial"/>
          <w:sz w:val="20"/>
        </w:rPr>
      </w:pPr>
      <w:r>
        <w:rPr>
          <w:rFonts w:ascii="Arial" w:hAnsi="Arial"/>
          <w:sz w:val="20"/>
        </w:rPr>
        <w:t xml:space="preserve">When detainees request access to a doctor for a forensic medical examination this is only done </w:t>
      </w:r>
      <w:r w:rsidR="00211D7D">
        <w:rPr>
          <w:rFonts w:ascii="Arial" w:hAnsi="Arial"/>
          <w:sz w:val="20"/>
        </w:rPr>
        <w:t xml:space="preserve">with the investigator’s permission (Article 208 of the CPC). In those cases where the investigator grants permission, the investigation is </w:t>
      </w:r>
      <w:r w:rsidR="00865765">
        <w:rPr>
          <w:rFonts w:ascii="Arial" w:hAnsi="Arial"/>
          <w:sz w:val="20"/>
        </w:rPr>
        <w:t>often</w:t>
      </w:r>
      <w:r w:rsidR="00211D7D">
        <w:rPr>
          <w:rFonts w:ascii="Arial" w:hAnsi="Arial"/>
          <w:sz w:val="20"/>
        </w:rPr>
        <w:t xml:space="preserve"> conducted with such a delay that injuries sustained through torture or other ill-treatment are not visible anymore.</w:t>
      </w:r>
      <w:r w:rsidR="006435E6">
        <w:rPr>
          <w:rFonts w:ascii="Arial" w:hAnsi="Arial"/>
          <w:sz w:val="20"/>
        </w:rPr>
        <w:t xml:space="preserve"> </w:t>
      </w:r>
    </w:p>
    <w:p w:rsidR="00F71092" w:rsidRDefault="00F71092" w:rsidP="008B7D16">
      <w:pPr>
        <w:jc w:val="both"/>
        <w:rPr>
          <w:rFonts w:ascii="Arial" w:hAnsi="Arial"/>
          <w:sz w:val="20"/>
        </w:rPr>
      </w:pPr>
    </w:p>
    <w:p w:rsidR="009477F1" w:rsidRDefault="009477F1" w:rsidP="008B7D16">
      <w:pPr>
        <w:jc w:val="both"/>
        <w:rPr>
          <w:rFonts w:ascii="Arial" w:hAnsi="Arial"/>
          <w:sz w:val="20"/>
        </w:rPr>
      </w:pPr>
      <w:r>
        <w:rPr>
          <w:rFonts w:ascii="Arial" w:hAnsi="Arial"/>
          <w:sz w:val="20"/>
        </w:rPr>
        <w:t>Medical personnel are supervised by the Ministry of Health, but are employees</w:t>
      </w:r>
      <w:r w:rsidR="003F212F">
        <w:rPr>
          <w:rFonts w:ascii="Arial" w:hAnsi="Arial"/>
          <w:sz w:val="20"/>
        </w:rPr>
        <w:t xml:space="preserve"> of the penitentiary administration under </w:t>
      </w:r>
      <w:r>
        <w:rPr>
          <w:rFonts w:ascii="Arial" w:hAnsi="Arial"/>
          <w:sz w:val="20"/>
        </w:rPr>
        <w:t>the Ministry of Justice</w:t>
      </w:r>
      <w:r w:rsidR="00E00420">
        <w:rPr>
          <w:rFonts w:ascii="Arial" w:hAnsi="Arial"/>
          <w:sz w:val="20"/>
        </w:rPr>
        <w:t>, the agency that runs SIZO</w:t>
      </w:r>
      <w:r w:rsidR="00983515">
        <w:rPr>
          <w:rFonts w:ascii="Arial" w:hAnsi="Arial"/>
          <w:sz w:val="20"/>
        </w:rPr>
        <w:t>s</w:t>
      </w:r>
      <w:r>
        <w:rPr>
          <w:rFonts w:ascii="Arial" w:hAnsi="Arial"/>
          <w:sz w:val="20"/>
        </w:rPr>
        <w:t xml:space="preserve">. There are cases </w:t>
      </w:r>
      <w:r w:rsidR="00F312BC">
        <w:rPr>
          <w:rFonts w:ascii="Arial" w:hAnsi="Arial"/>
          <w:sz w:val="20"/>
        </w:rPr>
        <w:t xml:space="preserve">in which </w:t>
      </w:r>
      <w:r w:rsidR="00E00420">
        <w:rPr>
          <w:rFonts w:ascii="Arial" w:hAnsi="Arial"/>
          <w:sz w:val="20"/>
        </w:rPr>
        <w:t xml:space="preserve">medical personnel have </w:t>
      </w:r>
      <w:r>
        <w:rPr>
          <w:rFonts w:ascii="Arial" w:hAnsi="Arial"/>
          <w:sz w:val="20"/>
        </w:rPr>
        <w:t xml:space="preserve">come under pressure </w:t>
      </w:r>
      <w:r w:rsidR="00F312BC">
        <w:rPr>
          <w:rFonts w:ascii="Arial" w:hAnsi="Arial"/>
          <w:sz w:val="20"/>
        </w:rPr>
        <w:t>from the penitentiary administration</w:t>
      </w:r>
      <w:r w:rsidR="00E743CD">
        <w:rPr>
          <w:rFonts w:ascii="Arial" w:hAnsi="Arial"/>
          <w:sz w:val="20"/>
        </w:rPr>
        <w:t xml:space="preserve"> as well as investigators, which undermines the required independence and impartiality of medical personnel.</w:t>
      </w:r>
    </w:p>
    <w:p w:rsidR="009477F1" w:rsidRDefault="009477F1" w:rsidP="008B7D16">
      <w:pPr>
        <w:jc w:val="both"/>
        <w:rPr>
          <w:rFonts w:ascii="Arial" w:hAnsi="Arial"/>
          <w:sz w:val="20"/>
        </w:rPr>
      </w:pPr>
    </w:p>
    <w:p w:rsidR="00E62296" w:rsidRDefault="006435E6" w:rsidP="008B7D16">
      <w:pPr>
        <w:jc w:val="both"/>
        <w:rPr>
          <w:rFonts w:ascii="Arial" w:hAnsi="Arial"/>
          <w:bCs/>
          <w:color w:val="FF6600"/>
          <w:sz w:val="20"/>
          <w:lang w:val="de-DE"/>
        </w:rPr>
      </w:pPr>
      <w:r>
        <w:rPr>
          <w:rFonts w:ascii="Arial" w:hAnsi="Arial"/>
          <w:sz w:val="20"/>
        </w:rPr>
        <w:t>The Committee against Torture recommended Tajikistan to “(e)n</w:t>
      </w:r>
      <w:r w:rsidRPr="006435E6">
        <w:rPr>
          <w:rFonts w:ascii="Arial" w:hAnsi="Arial"/>
          <w:sz w:val="20"/>
          <w:lang w:val="en-GB"/>
        </w:rPr>
        <w:t>sure that anyone arriving at a detention facility undergoes a routine medical examination, and that access to independent doctors is provided when requested by the detainee without conditioning such access on the per</w:t>
      </w:r>
      <w:r>
        <w:rPr>
          <w:rFonts w:ascii="Arial" w:hAnsi="Arial"/>
          <w:sz w:val="20"/>
          <w:lang w:val="en-GB"/>
        </w:rPr>
        <w:t>mission or request of officials”</w:t>
      </w:r>
      <w:r w:rsidRPr="006435E6">
        <w:rPr>
          <w:rFonts w:ascii="Arial" w:hAnsi="Arial"/>
          <w:sz w:val="20"/>
          <w:lang w:val="en-GB"/>
        </w:rPr>
        <w:t xml:space="preserve"> (</w:t>
      </w:r>
      <w:r>
        <w:rPr>
          <w:rFonts w:ascii="Arial" w:hAnsi="Arial"/>
          <w:sz w:val="20"/>
          <w:lang w:val="en-GB"/>
        </w:rPr>
        <w:t>Recommendation</w:t>
      </w:r>
      <w:r w:rsidRPr="006435E6">
        <w:rPr>
          <w:rFonts w:ascii="Arial" w:hAnsi="Arial"/>
          <w:sz w:val="20"/>
          <w:lang w:val="en-GB"/>
        </w:rPr>
        <w:t xml:space="preserve"> 8 (e))</w:t>
      </w:r>
      <w:r>
        <w:rPr>
          <w:rFonts w:ascii="Arial" w:hAnsi="Arial"/>
          <w:sz w:val="20"/>
          <w:lang w:val="en-GB"/>
        </w:rPr>
        <w:t>.</w:t>
      </w:r>
      <w:r w:rsidR="00E62296">
        <w:rPr>
          <w:rFonts w:ascii="Arial" w:hAnsi="Arial"/>
          <w:sz w:val="20"/>
          <w:lang w:val="en-GB"/>
        </w:rPr>
        <w:t xml:space="preserve"> </w:t>
      </w:r>
      <w:r w:rsidR="009A0B3B">
        <w:rPr>
          <w:rFonts w:ascii="Arial" w:hAnsi="Arial"/>
          <w:sz w:val="20"/>
          <w:lang w:val="en-GB"/>
        </w:rPr>
        <w:t>T</w:t>
      </w:r>
      <w:r w:rsidR="00E62296">
        <w:rPr>
          <w:rFonts w:ascii="Arial" w:hAnsi="Arial"/>
          <w:sz w:val="20"/>
          <w:lang w:val="en-GB"/>
        </w:rPr>
        <w:t>he Special Rapporteur on torture called on the authorities to “a</w:t>
      </w:r>
      <w:r w:rsidR="00E62296" w:rsidRPr="00E62296">
        <w:rPr>
          <w:rFonts w:ascii="Arial" w:hAnsi="Arial"/>
          <w:bCs/>
          <w:sz w:val="20"/>
          <w:lang w:val="de-DE"/>
        </w:rPr>
        <w:t>llow access to independent medical examination without interference or the presence of law en</w:t>
      </w:r>
      <w:r w:rsidR="00E62296">
        <w:rPr>
          <w:rFonts w:ascii="Arial" w:hAnsi="Arial"/>
          <w:bCs/>
          <w:sz w:val="20"/>
          <w:lang w:val="de-DE"/>
        </w:rPr>
        <w:t>forcement agents or prosecutors“</w:t>
      </w:r>
      <w:r w:rsidR="00E62296" w:rsidRPr="00E62296">
        <w:rPr>
          <w:rFonts w:ascii="Arial" w:hAnsi="Arial"/>
          <w:bCs/>
          <w:sz w:val="20"/>
          <w:lang w:val="de-DE"/>
        </w:rPr>
        <w:t xml:space="preserve"> (</w:t>
      </w:r>
      <w:r w:rsidR="00E62296">
        <w:rPr>
          <w:rFonts w:ascii="Arial" w:hAnsi="Arial"/>
          <w:bCs/>
          <w:sz w:val="20"/>
          <w:lang w:val="de-DE"/>
        </w:rPr>
        <w:t>Recommendation</w:t>
      </w:r>
      <w:r w:rsidR="00E62296" w:rsidRPr="00E62296">
        <w:rPr>
          <w:rFonts w:ascii="Arial" w:hAnsi="Arial"/>
          <w:bCs/>
          <w:sz w:val="20"/>
          <w:lang w:val="de-DE"/>
        </w:rPr>
        <w:t xml:space="preserve"> 100 (d))</w:t>
      </w:r>
      <w:r w:rsidR="00E62296">
        <w:rPr>
          <w:rFonts w:ascii="Arial" w:hAnsi="Arial"/>
          <w:bCs/>
          <w:sz w:val="20"/>
          <w:lang w:val="de-DE"/>
        </w:rPr>
        <w:t xml:space="preserve">. </w:t>
      </w:r>
    </w:p>
    <w:p w:rsidR="00D63F34" w:rsidRDefault="00D63F34" w:rsidP="008B7D16">
      <w:pPr>
        <w:jc w:val="both"/>
        <w:rPr>
          <w:rFonts w:ascii="Arial" w:hAnsi="Arial"/>
          <w:bCs/>
          <w:color w:val="FF6600"/>
          <w:sz w:val="20"/>
          <w:lang w:val="de-DE"/>
        </w:rPr>
      </w:pPr>
    </w:p>
    <w:p w:rsidR="00A86463" w:rsidRDefault="00A86463" w:rsidP="00A86463">
      <w:pPr>
        <w:jc w:val="both"/>
        <w:rPr>
          <w:rFonts w:ascii="Arial" w:hAnsi="Arial"/>
          <w:sz w:val="20"/>
          <w:lang w:val="de-DE"/>
        </w:rPr>
      </w:pPr>
      <w:r w:rsidRPr="00D16171">
        <w:rPr>
          <w:rFonts w:ascii="Arial" w:hAnsi="Arial"/>
          <w:sz w:val="20"/>
          <w:lang w:val="de-DE"/>
        </w:rPr>
        <w:t>Domestic law in Tajikistan does</w:t>
      </w:r>
      <w:r>
        <w:rPr>
          <w:rFonts w:ascii="Arial" w:hAnsi="Arial"/>
          <w:sz w:val="20"/>
          <w:lang w:val="de-DE"/>
        </w:rPr>
        <w:t xml:space="preserve"> </w:t>
      </w:r>
      <w:r w:rsidRPr="00D16171">
        <w:rPr>
          <w:rFonts w:ascii="Arial" w:hAnsi="Arial"/>
          <w:sz w:val="20"/>
          <w:lang w:val="de-DE"/>
        </w:rPr>
        <w:t xml:space="preserve">not allow detainees the </w:t>
      </w:r>
      <w:r w:rsidRPr="00A86463">
        <w:rPr>
          <w:rFonts w:ascii="Arial" w:hAnsi="Arial"/>
          <w:b/>
          <w:sz w:val="20"/>
          <w:lang w:val="de-DE"/>
        </w:rPr>
        <w:t>right to notify</w:t>
      </w:r>
      <w:r w:rsidRPr="00D16171">
        <w:rPr>
          <w:rFonts w:ascii="Arial" w:hAnsi="Arial"/>
          <w:sz w:val="20"/>
          <w:lang w:val="de-DE"/>
        </w:rPr>
        <w:t xml:space="preserve"> their </w:t>
      </w:r>
      <w:r w:rsidRPr="00A86463">
        <w:rPr>
          <w:rFonts w:ascii="Arial" w:hAnsi="Arial"/>
          <w:b/>
          <w:sz w:val="20"/>
          <w:lang w:val="de-DE"/>
        </w:rPr>
        <w:t>lawyers and families of transfers</w:t>
      </w:r>
      <w:r w:rsidRPr="00D16171">
        <w:rPr>
          <w:rFonts w:ascii="Arial" w:hAnsi="Arial"/>
          <w:sz w:val="20"/>
          <w:lang w:val="de-DE"/>
        </w:rPr>
        <w:t xml:space="preserve"> between pre-trial</w:t>
      </w:r>
      <w:r>
        <w:rPr>
          <w:rFonts w:ascii="Arial" w:hAnsi="Arial"/>
          <w:sz w:val="20"/>
          <w:lang w:val="de-DE"/>
        </w:rPr>
        <w:t xml:space="preserve"> </w:t>
      </w:r>
      <w:r w:rsidRPr="00D16171">
        <w:rPr>
          <w:rFonts w:ascii="Arial" w:hAnsi="Arial"/>
          <w:sz w:val="20"/>
          <w:lang w:val="de-DE"/>
        </w:rPr>
        <w:t xml:space="preserve">detention facilities or of their removal from detention facilities for the purpose of </w:t>
      </w:r>
      <w:r>
        <w:rPr>
          <w:rFonts w:ascii="Arial" w:hAnsi="Arial"/>
          <w:sz w:val="20"/>
          <w:lang w:val="de-DE"/>
        </w:rPr>
        <w:t>investigative activities, such as taking them to the crime scene</w:t>
      </w:r>
      <w:r w:rsidRPr="00D16171">
        <w:rPr>
          <w:rFonts w:ascii="Arial" w:hAnsi="Arial"/>
          <w:sz w:val="20"/>
          <w:lang w:val="de-DE"/>
        </w:rPr>
        <w:t>. Nor are law enforcement officers under an obligation to inform the</w:t>
      </w:r>
      <w:r>
        <w:rPr>
          <w:rFonts w:ascii="Arial" w:hAnsi="Arial"/>
          <w:sz w:val="20"/>
          <w:lang w:val="de-DE"/>
        </w:rPr>
        <w:t xml:space="preserve"> </w:t>
      </w:r>
      <w:r w:rsidRPr="00D16171">
        <w:rPr>
          <w:rFonts w:ascii="Arial" w:hAnsi="Arial"/>
          <w:sz w:val="20"/>
          <w:lang w:val="de-DE"/>
        </w:rPr>
        <w:t xml:space="preserve">relatives. </w:t>
      </w:r>
      <w:r>
        <w:rPr>
          <w:rFonts w:ascii="Arial" w:hAnsi="Arial"/>
          <w:sz w:val="20"/>
          <w:lang w:val="de-DE"/>
        </w:rPr>
        <w:t xml:space="preserve">Local human rights groups have documented many cases where detainees were subjected to torture or other ill-treatment in the context of such transfers or removals. </w:t>
      </w:r>
    </w:p>
    <w:p w:rsidR="00A86463" w:rsidRDefault="00A86463" w:rsidP="00A86463">
      <w:pPr>
        <w:jc w:val="both"/>
        <w:rPr>
          <w:rFonts w:ascii="Arial" w:hAnsi="Arial"/>
          <w:sz w:val="20"/>
          <w:lang w:val="de-DE"/>
        </w:rPr>
      </w:pPr>
    </w:p>
    <w:p w:rsidR="00A86463" w:rsidRPr="00164639" w:rsidRDefault="00A86463" w:rsidP="00A86463">
      <w:pPr>
        <w:jc w:val="both"/>
        <w:rPr>
          <w:rFonts w:ascii="Arial" w:hAnsi="Arial"/>
          <w:sz w:val="20"/>
          <w:lang w:val="de-DE"/>
        </w:rPr>
      </w:pPr>
      <w:r w:rsidRPr="00164639">
        <w:rPr>
          <w:rFonts w:ascii="Arial" w:hAnsi="Arial"/>
          <w:sz w:val="20"/>
          <w:lang w:val="de-DE"/>
        </w:rPr>
        <w:t xml:space="preserve">Principle 16(1) </w:t>
      </w:r>
      <w:r>
        <w:rPr>
          <w:rFonts w:ascii="Arial" w:hAnsi="Arial"/>
          <w:sz w:val="20"/>
          <w:lang w:val="de-DE"/>
        </w:rPr>
        <w:t xml:space="preserve">of the </w:t>
      </w:r>
      <w:r w:rsidRPr="00164639">
        <w:rPr>
          <w:rFonts w:ascii="Arial" w:hAnsi="Arial"/>
          <w:sz w:val="20"/>
          <w:lang w:val="de-DE"/>
        </w:rPr>
        <w:t xml:space="preserve">UN Body of Principles for the Protection of All Persons under any form of Detention or Imprisonment </w:t>
      </w:r>
      <w:r>
        <w:rPr>
          <w:rFonts w:ascii="Arial" w:hAnsi="Arial"/>
          <w:sz w:val="20"/>
          <w:lang w:val="de-DE"/>
        </w:rPr>
        <w:t xml:space="preserve">stipulates that </w:t>
      </w:r>
      <w:r w:rsidRPr="00164639">
        <w:rPr>
          <w:rFonts w:ascii="Arial" w:hAnsi="Arial"/>
          <w:sz w:val="20"/>
          <w:lang w:val="de-DE"/>
        </w:rPr>
        <w:t>“after each transfer from one place of</w:t>
      </w:r>
      <w:r>
        <w:rPr>
          <w:rFonts w:ascii="Arial" w:hAnsi="Arial"/>
          <w:sz w:val="20"/>
          <w:lang w:val="de-DE"/>
        </w:rPr>
        <w:t xml:space="preserve"> </w:t>
      </w:r>
      <w:r w:rsidRPr="00164639">
        <w:rPr>
          <w:rFonts w:ascii="Arial" w:hAnsi="Arial"/>
          <w:sz w:val="20"/>
          <w:lang w:val="de-DE"/>
        </w:rPr>
        <w:t>detention or imprisonment to another, a detained or imprisoned person shall be entitled to notify or to require the competent authorities to notify members of his family</w:t>
      </w:r>
      <w:r>
        <w:rPr>
          <w:rFonts w:ascii="Arial" w:hAnsi="Arial"/>
          <w:sz w:val="20"/>
          <w:lang w:val="de-DE"/>
        </w:rPr>
        <w:t xml:space="preserve"> </w:t>
      </w:r>
      <w:r w:rsidRPr="00164639">
        <w:rPr>
          <w:rFonts w:ascii="Arial" w:hAnsi="Arial"/>
          <w:sz w:val="20"/>
          <w:lang w:val="de-DE"/>
        </w:rPr>
        <w:t>or other appropriate persons of his choice of […] the transfer and of the place where he is kept in custody”.</w:t>
      </w:r>
    </w:p>
    <w:p w:rsidR="00A86463" w:rsidRDefault="00A86463" w:rsidP="00A86463">
      <w:pPr>
        <w:jc w:val="both"/>
        <w:rPr>
          <w:rFonts w:ascii="Arial" w:hAnsi="Arial"/>
          <w:sz w:val="20"/>
          <w:lang w:val="de-DE"/>
        </w:rPr>
      </w:pPr>
    </w:p>
    <w:p w:rsidR="00A86463" w:rsidRDefault="00A86463" w:rsidP="00A86463">
      <w:pPr>
        <w:jc w:val="both"/>
        <w:rPr>
          <w:rFonts w:ascii="Arial" w:hAnsi="Arial"/>
          <w:sz w:val="20"/>
          <w:lang w:val="de-DE"/>
        </w:rPr>
      </w:pPr>
      <w:r>
        <w:rPr>
          <w:rFonts w:ascii="Arial" w:hAnsi="Arial"/>
          <w:sz w:val="20"/>
          <w:lang w:val="de-DE"/>
        </w:rPr>
        <w:t>Thus, the NGOs jointly issuing this document urge the authorities of Tajikistan to amend t</w:t>
      </w:r>
      <w:r w:rsidRPr="00D16171">
        <w:rPr>
          <w:rFonts w:ascii="Arial" w:hAnsi="Arial"/>
          <w:sz w:val="20"/>
          <w:lang w:val="de-DE"/>
        </w:rPr>
        <w:t xml:space="preserve">he CPC to ensure </w:t>
      </w:r>
      <w:r>
        <w:rPr>
          <w:rFonts w:ascii="Arial" w:hAnsi="Arial"/>
          <w:sz w:val="20"/>
          <w:lang w:val="de-DE"/>
        </w:rPr>
        <w:t xml:space="preserve">that </w:t>
      </w:r>
      <w:r w:rsidRPr="00D16171">
        <w:rPr>
          <w:rFonts w:ascii="Arial" w:hAnsi="Arial"/>
          <w:sz w:val="20"/>
          <w:lang w:val="de-DE"/>
        </w:rPr>
        <w:t>families and lawyers are notified in advance</w:t>
      </w:r>
      <w:r>
        <w:rPr>
          <w:rFonts w:ascii="Arial" w:hAnsi="Arial"/>
          <w:sz w:val="20"/>
          <w:lang w:val="de-DE"/>
        </w:rPr>
        <w:t xml:space="preserve"> </w:t>
      </w:r>
      <w:r w:rsidRPr="00D16171">
        <w:rPr>
          <w:rFonts w:ascii="Arial" w:hAnsi="Arial"/>
          <w:sz w:val="20"/>
          <w:lang w:val="de-DE"/>
        </w:rPr>
        <w:t>of any transfers of detainees.</w:t>
      </w:r>
      <w:r>
        <w:rPr>
          <w:rFonts w:ascii="Arial" w:hAnsi="Arial"/>
          <w:sz w:val="20"/>
          <w:lang w:val="de-DE"/>
        </w:rPr>
        <w:t xml:space="preserve"> </w:t>
      </w:r>
    </w:p>
    <w:p w:rsidR="00D63F34" w:rsidRDefault="00D63F34" w:rsidP="008B7D16">
      <w:pPr>
        <w:jc w:val="both"/>
        <w:rPr>
          <w:rFonts w:ascii="Arial" w:hAnsi="Arial"/>
          <w:bCs/>
          <w:color w:val="FF6600"/>
          <w:sz w:val="20"/>
          <w:lang w:val="de-DE"/>
        </w:rPr>
      </w:pPr>
    </w:p>
    <w:p w:rsidR="00F96A44" w:rsidRDefault="00D50416" w:rsidP="008B7D16">
      <w:pPr>
        <w:jc w:val="both"/>
        <w:rPr>
          <w:rFonts w:ascii="Arial" w:hAnsi="Arial"/>
          <w:sz w:val="20"/>
          <w:lang w:val="fr-FR"/>
        </w:rPr>
      </w:pPr>
      <w:r w:rsidRPr="00076958">
        <w:rPr>
          <w:rFonts w:ascii="Arial" w:hAnsi="Arial"/>
          <w:b/>
          <w:sz w:val="20"/>
          <w:lang w:val="fr-FR"/>
        </w:rPr>
        <w:t>Independent inspections</w:t>
      </w:r>
      <w:r>
        <w:rPr>
          <w:rFonts w:ascii="Arial" w:hAnsi="Arial"/>
          <w:sz w:val="20"/>
          <w:lang w:val="fr-FR"/>
        </w:rPr>
        <w:t xml:space="preserve"> of detention facilities are </w:t>
      </w:r>
      <w:r w:rsidR="00076958">
        <w:rPr>
          <w:rFonts w:ascii="Arial" w:hAnsi="Arial"/>
          <w:sz w:val="20"/>
          <w:lang w:val="fr-FR"/>
        </w:rPr>
        <w:t xml:space="preserve">another effective safeguard against torture and other ill-treatment. </w:t>
      </w:r>
      <w:r w:rsidR="00431F37">
        <w:rPr>
          <w:rFonts w:ascii="Arial" w:hAnsi="Arial"/>
          <w:sz w:val="20"/>
          <w:lang w:val="fr-FR"/>
        </w:rPr>
        <w:t>The International Committee of the Red Cross</w:t>
      </w:r>
      <w:r w:rsidR="00693EAB">
        <w:rPr>
          <w:rFonts w:ascii="Arial" w:hAnsi="Arial"/>
          <w:sz w:val="20"/>
          <w:lang w:val="fr-FR"/>
        </w:rPr>
        <w:t xml:space="preserve"> (ICRC)</w:t>
      </w:r>
      <w:r w:rsidR="00431F37">
        <w:rPr>
          <w:rFonts w:ascii="Arial" w:hAnsi="Arial"/>
          <w:sz w:val="20"/>
          <w:lang w:val="fr-FR"/>
        </w:rPr>
        <w:t xml:space="preserve"> has not had access to detention facilities in Tajikistan for the purpo</w:t>
      </w:r>
      <w:r w:rsidR="009F7217">
        <w:rPr>
          <w:rFonts w:ascii="Arial" w:hAnsi="Arial"/>
          <w:sz w:val="20"/>
          <w:lang w:val="fr-FR"/>
        </w:rPr>
        <w:t xml:space="preserve">se of monitoring </w:t>
      </w:r>
      <w:r w:rsidR="00551801">
        <w:rPr>
          <w:rFonts w:ascii="Arial" w:hAnsi="Arial"/>
          <w:sz w:val="20"/>
          <w:lang w:val="fr-FR"/>
        </w:rPr>
        <w:t>since 2004.</w:t>
      </w:r>
      <w:r w:rsidR="00F96A44">
        <w:rPr>
          <w:rFonts w:ascii="Arial" w:hAnsi="Arial"/>
          <w:sz w:val="20"/>
          <w:lang w:val="fr-FR"/>
        </w:rPr>
        <w:t xml:space="preserve"> Tajikistan has not ratified the </w:t>
      </w:r>
      <w:r w:rsidR="00F96A44">
        <w:rPr>
          <w:rFonts w:ascii="Arial" w:hAnsi="Arial"/>
          <w:sz w:val="20"/>
        </w:rPr>
        <w:t>Optional Protocol to the Convention against Torture</w:t>
      </w:r>
      <w:r w:rsidR="00F71092">
        <w:rPr>
          <w:rFonts w:ascii="Arial" w:hAnsi="Arial"/>
          <w:sz w:val="20"/>
        </w:rPr>
        <w:t xml:space="preserve"> and has thus not obligated itself to set up a National Preventive Mechanism</w:t>
      </w:r>
      <w:r w:rsidR="00F96A44">
        <w:rPr>
          <w:rFonts w:ascii="Arial" w:hAnsi="Arial"/>
          <w:sz w:val="20"/>
        </w:rPr>
        <w:t xml:space="preserve">. </w:t>
      </w:r>
    </w:p>
    <w:p w:rsidR="00F96A44" w:rsidRDefault="00F96A44" w:rsidP="008B7D16">
      <w:pPr>
        <w:jc w:val="both"/>
        <w:rPr>
          <w:rFonts w:ascii="Arial" w:hAnsi="Arial"/>
          <w:sz w:val="20"/>
          <w:lang w:val="fr-FR"/>
        </w:rPr>
      </w:pPr>
    </w:p>
    <w:p w:rsidR="00F96A44" w:rsidRDefault="00C04F70" w:rsidP="008B7D16">
      <w:pPr>
        <w:jc w:val="both"/>
        <w:rPr>
          <w:rFonts w:ascii="Arial" w:hAnsi="Arial"/>
          <w:sz w:val="20"/>
        </w:rPr>
      </w:pPr>
      <w:r w:rsidRPr="00970CAA">
        <w:rPr>
          <w:rFonts w:ascii="Arial" w:hAnsi="Arial"/>
          <w:sz w:val="20"/>
          <w:lang w:val="en-GB"/>
        </w:rPr>
        <w:t xml:space="preserve">In February 2014, a Monitoring Group established as part of the Ombudsman’s office and consisting of Ombudsman staff </w:t>
      </w:r>
      <w:r w:rsidRPr="00AB3A16">
        <w:rPr>
          <w:rFonts w:ascii="Arial" w:hAnsi="Arial"/>
          <w:sz w:val="20"/>
          <w:lang w:val="en-GB"/>
        </w:rPr>
        <w:t xml:space="preserve">and civil society activists began </w:t>
      </w:r>
      <w:r w:rsidR="009F7217">
        <w:rPr>
          <w:rFonts w:ascii="Arial" w:hAnsi="Arial"/>
          <w:sz w:val="20"/>
          <w:lang w:val="en-GB"/>
        </w:rPr>
        <w:t>visiting</w:t>
      </w:r>
      <w:r w:rsidRPr="00AB3A16">
        <w:rPr>
          <w:rFonts w:ascii="Arial" w:hAnsi="Arial"/>
          <w:sz w:val="20"/>
          <w:lang w:val="en-GB"/>
        </w:rPr>
        <w:t xml:space="preserve"> detention facilities. </w:t>
      </w:r>
      <w:r w:rsidRPr="002F7F94">
        <w:rPr>
          <w:rFonts w:ascii="Arial" w:hAnsi="Arial"/>
          <w:sz w:val="20"/>
        </w:rPr>
        <w:t>However, the Monitoring Group has to announce its visits and when it receives allegations of torture in a specific case and wants to visit, the administration of the detention facility typically only admits staff of the Ombudsman's Office and denies access to the civil society members of the Monitoring Group.</w:t>
      </w:r>
    </w:p>
    <w:p w:rsidR="00F96A44" w:rsidRDefault="00F96A44" w:rsidP="008B7D16">
      <w:pPr>
        <w:jc w:val="both"/>
        <w:rPr>
          <w:rFonts w:ascii="Arial" w:hAnsi="Arial"/>
          <w:sz w:val="20"/>
        </w:rPr>
      </w:pPr>
    </w:p>
    <w:p w:rsidR="00E743CD" w:rsidRDefault="00C04F70" w:rsidP="008B7D16">
      <w:pPr>
        <w:jc w:val="both"/>
        <w:rPr>
          <w:rFonts w:ascii="Arial" w:hAnsi="Arial"/>
          <w:sz w:val="20"/>
        </w:rPr>
      </w:pPr>
      <w:r w:rsidRPr="002F7F94">
        <w:rPr>
          <w:rFonts w:ascii="Arial" w:hAnsi="Arial"/>
          <w:sz w:val="20"/>
        </w:rPr>
        <w:t>Other than in the framework of the Monitoring Group, human rights defenders</w:t>
      </w:r>
      <w:r w:rsidR="00EE2AD3">
        <w:rPr>
          <w:rFonts w:ascii="Arial" w:hAnsi="Arial"/>
          <w:sz w:val="20"/>
        </w:rPr>
        <w:t xml:space="preserve"> in Tajikistan</w:t>
      </w:r>
      <w:r w:rsidRPr="002F7F94">
        <w:rPr>
          <w:rFonts w:ascii="Arial" w:hAnsi="Arial"/>
          <w:sz w:val="20"/>
        </w:rPr>
        <w:t xml:space="preserve"> are not permitted to enter detention facilities in order to conduct independent monitoring. </w:t>
      </w:r>
    </w:p>
    <w:p w:rsidR="00E743CD" w:rsidRDefault="00E743CD" w:rsidP="008B7D16">
      <w:pPr>
        <w:jc w:val="both"/>
        <w:rPr>
          <w:rFonts w:ascii="Arial" w:hAnsi="Arial"/>
          <w:sz w:val="20"/>
        </w:rPr>
      </w:pPr>
    </w:p>
    <w:p w:rsidR="00693EAB" w:rsidRPr="00693EAB" w:rsidRDefault="00517939" w:rsidP="008B7D16">
      <w:pPr>
        <w:jc w:val="both"/>
        <w:rPr>
          <w:rFonts w:ascii="Arial" w:hAnsi="Arial"/>
          <w:sz w:val="20"/>
          <w:lang w:val="en-GB"/>
        </w:rPr>
      </w:pPr>
      <w:r w:rsidRPr="002F7F94">
        <w:rPr>
          <w:rFonts w:ascii="Arial" w:hAnsi="Arial"/>
          <w:sz w:val="20"/>
        </w:rPr>
        <w:t xml:space="preserve">The Committee against Torture recommended Tajikistan to </w:t>
      </w:r>
      <w:r>
        <w:rPr>
          <w:rFonts w:ascii="Arial" w:hAnsi="Arial"/>
          <w:sz w:val="20"/>
          <w:lang w:val="en-GB"/>
        </w:rPr>
        <w:t>“</w:t>
      </w:r>
      <w:r w:rsidR="00C04F70" w:rsidRPr="00C04F70">
        <w:rPr>
          <w:rFonts w:ascii="Arial" w:hAnsi="Arial"/>
          <w:sz w:val="20"/>
          <w:lang w:val="en-GB"/>
        </w:rPr>
        <w:t>(t)ake concrete steps, as a matter of priority, to ratify the Optional Protocol to the Convention and establish an effective National Preventative Mechanism which is resourced and permitted to conduct regular, independent, unannounced and unrestricted visits of inspection to all places of deprivation of liberty, with opportunity for inspectors to speak privately w</w:t>
      </w:r>
      <w:r>
        <w:rPr>
          <w:rFonts w:ascii="Arial" w:hAnsi="Arial"/>
          <w:sz w:val="20"/>
          <w:lang w:val="en-GB"/>
        </w:rPr>
        <w:t>ith individual detainees (Recommendation</w:t>
      </w:r>
      <w:r w:rsidR="00C04F70" w:rsidRPr="00C04F70">
        <w:rPr>
          <w:rFonts w:ascii="Arial" w:hAnsi="Arial"/>
          <w:sz w:val="20"/>
          <w:lang w:val="en-GB"/>
        </w:rPr>
        <w:t xml:space="preserve"> 14(c))</w:t>
      </w:r>
      <w:r>
        <w:rPr>
          <w:rFonts w:ascii="Arial" w:hAnsi="Arial"/>
          <w:sz w:val="20"/>
          <w:lang w:val="en-GB"/>
        </w:rPr>
        <w:t xml:space="preserve">. </w:t>
      </w:r>
      <w:r w:rsidR="00693EAB" w:rsidRPr="00693EAB">
        <w:rPr>
          <w:rFonts w:ascii="Arial" w:hAnsi="Arial"/>
          <w:sz w:val="20"/>
          <w:lang w:val="en-GB"/>
        </w:rPr>
        <w:t>In the meantime,</w:t>
      </w:r>
      <w:r w:rsidR="00693EAB">
        <w:rPr>
          <w:rFonts w:ascii="Arial" w:hAnsi="Arial"/>
          <w:sz w:val="20"/>
          <w:lang w:val="en-GB"/>
        </w:rPr>
        <w:t xml:space="preserve"> the UN Committee recommended </w:t>
      </w:r>
      <w:r w:rsidR="009667B1">
        <w:rPr>
          <w:rFonts w:ascii="Arial" w:hAnsi="Arial"/>
          <w:sz w:val="20"/>
          <w:lang w:val="en-GB"/>
        </w:rPr>
        <w:t xml:space="preserve">that </w:t>
      </w:r>
      <w:r w:rsidR="00693EAB">
        <w:rPr>
          <w:rFonts w:ascii="Arial" w:hAnsi="Arial"/>
          <w:sz w:val="20"/>
          <w:lang w:val="en-GB"/>
        </w:rPr>
        <w:t>the Tajikistani authorities should</w:t>
      </w:r>
      <w:r w:rsidR="00693EAB" w:rsidRPr="00693EAB">
        <w:rPr>
          <w:rFonts w:ascii="Arial" w:hAnsi="Arial"/>
          <w:sz w:val="20"/>
          <w:lang w:val="en-GB"/>
        </w:rPr>
        <w:t xml:space="preserve"> </w:t>
      </w:r>
      <w:r w:rsidR="006C6170">
        <w:rPr>
          <w:rFonts w:ascii="Arial" w:hAnsi="Arial"/>
          <w:sz w:val="20"/>
          <w:lang w:val="en-GB"/>
        </w:rPr>
        <w:t>“</w:t>
      </w:r>
      <w:r w:rsidR="00693EAB" w:rsidRPr="00693EAB">
        <w:rPr>
          <w:rFonts w:ascii="Arial" w:hAnsi="Arial"/>
          <w:sz w:val="20"/>
          <w:lang w:val="en-GB"/>
        </w:rPr>
        <w:t xml:space="preserve">grant unimpeded access to the ICRC and independent </w:t>
      </w:r>
      <w:r w:rsidR="007E4D4D">
        <w:rPr>
          <w:rFonts w:ascii="Arial" w:hAnsi="Arial"/>
          <w:sz w:val="20"/>
          <w:lang w:val="en-GB"/>
        </w:rPr>
        <w:t>non-governmental organizations</w:t>
      </w:r>
      <w:r w:rsidR="005A0E7C">
        <w:rPr>
          <w:rFonts w:ascii="Arial" w:hAnsi="Arial"/>
          <w:sz w:val="20"/>
          <w:lang w:val="en-GB"/>
        </w:rPr>
        <w:t xml:space="preserve"> </w:t>
      </w:r>
      <w:r w:rsidR="00693EAB" w:rsidRPr="00693EAB">
        <w:rPr>
          <w:rFonts w:ascii="Arial" w:hAnsi="Arial"/>
          <w:sz w:val="20"/>
          <w:lang w:val="en-GB"/>
        </w:rPr>
        <w:t>to all places of detention, and ensure that the Ombudsman undertakes regular, unannounced visits to all places of deprivation of liberty, accompanied by medical professionals, including to places of police custody, and that the findi</w:t>
      </w:r>
      <w:r w:rsidR="00801AFB">
        <w:rPr>
          <w:rFonts w:ascii="Arial" w:hAnsi="Arial"/>
          <w:sz w:val="20"/>
          <w:lang w:val="en-GB"/>
        </w:rPr>
        <w:t>ngs are made available publicly”</w:t>
      </w:r>
      <w:r w:rsidR="00693EAB" w:rsidRPr="00693EAB">
        <w:rPr>
          <w:rFonts w:ascii="Arial" w:hAnsi="Arial"/>
          <w:sz w:val="20"/>
          <w:lang w:val="en-GB"/>
        </w:rPr>
        <w:t xml:space="preserve"> (</w:t>
      </w:r>
      <w:r w:rsidR="00801AFB">
        <w:rPr>
          <w:rFonts w:ascii="Arial" w:hAnsi="Arial"/>
          <w:sz w:val="20"/>
          <w:lang w:val="en-GB"/>
        </w:rPr>
        <w:t>Recommendation</w:t>
      </w:r>
      <w:r w:rsidR="00693EAB" w:rsidRPr="00693EAB">
        <w:rPr>
          <w:rFonts w:ascii="Arial" w:hAnsi="Arial"/>
          <w:sz w:val="20"/>
          <w:lang w:val="en-GB"/>
        </w:rPr>
        <w:t xml:space="preserve"> 14(c))</w:t>
      </w:r>
      <w:r w:rsidR="00801AFB">
        <w:rPr>
          <w:rFonts w:ascii="Arial" w:hAnsi="Arial"/>
          <w:sz w:val="20"/>
          <w:lang w:val="en-GB"/>
        </w:rPr>
        <w:t>.</w:t>
      </w:r>
    </w:p>
    <w:p w:rsidR="00771119" w:rsidRDefault="005C797E" w:rsidP="0040506F">
      <w:pPr>
        <w:pStyle w:val="1"/>
        <w:rPr>
          <w:lang w:val="fr-FR"/>
        </w:rPr>
      </w:pPr>
      <w:bookmarkStart w:id="3" w:name="_Toc285095804"/>
      <w:r>
        <w:rPr>
          <w:lang w:val="fr-FR"/>
        </w:rPr>
        <w:t>ENDING IMPUNITY</w:t>
      </w:r>
      <w:bookmarkEnd w:id="3"/>
    </w:p>
    <w:p w:rsidR="0040506F" w:rsidRDefault="0040506F" w:rsidP="008E3EA9">
      <w:pPr>
        <w:jc w:val="both"/>
        <w:rPr>
          <w:rFonts w:ascii="Arial" w:hAnsi="Arial"/>
          <w:sz w:val="20"/>
          <w:lang w:val="en-GB"/>
        </w:rPr>
      </w:pPr>
    </w:p>
    <w:p w:rsidR="00BE520C" w:rsidRDefault="004C771A" w:rsidP="008E3EA9">
      <w:pPr>
        <w:jc w:val="both"/>
        <w:rPr>
          <w:rFonts w:ascii="Arial" w:hAnsi="Arial"/>
          <w:sz w:val="20"/>
          <w:lang w:val="en-GB"/>
        </w:rPr>
      </w:pPr>
      <w:r>
        <w:rPr>
          <w:rFonts w:ascii="Arial" w:hAnsi="Arial"/>
          <w:sz w:val="20"/>
          <w:lang w:val="en-GB"/>
        </w:rPr>
        <w:t>The authorities do not publish comprehensive statistic</w:t>
      </w:r>
      <w:r w:rsidR="00D37836">
        <w:rPr>
          <w:rFonts w:ascii="Arial" w:hAnsi="Arial"/>
          <w:sz w:val="20"/>
          <w:lang w:val="en-GB"/>
        </w:rPr>
        <w:t>s on complaints, investigations,</w:t>
      </w:r>
      <w:r>
        <w:rPr>
          <w:rFonts w:ascii="Arial" w:hAnsi="Arial"/>
          <w:sz w:val="20"/>
          <w:lang w:val="en-GB"/>
        </w:rPr>
        <w:t xml:space="preserve"> prosecutions </w:t>
      </w:r>
      <w:r w:rsidR="00D37836">
        <w:rPr>
          <w:rFonts w:ascii="Arial" w:hAnsi="Arial"/>
          <w:sz w:val="20"/>
          <w:lang w:val="en-GB"/>
        </w:rPr>
        <w:t xml:space="preserve">and convictions </w:t>
      </w:r>
      <w:r>
        <w:rPr>
          <w:rFonts w:ascii="Arial" w:hAnsi="Arial"/>
          <w:sz w:val="20"/>
          <w:lang w:val="en-GB"/>
        </w:rPr>
        <w:t>relating to torture or other ill-treatment. At the Human Dimension Implementation Meeting</w:t>
      </w:r>
      <w:r w:rsidR="003F553E">
        <w:rPr>
          <w:rFonts w:ascii="Arial" w:hAnsi="Arial"/>
          <w:sz w:val="20"/>
          <w:lang w:val="en-GB"/>
        </w:rPr>
        <w:t xml:space="preserve"> of the Organization for Security and Co-operation in Europe (OSCE)</w:t>
      </w:r>
      <w:r>
        <w:rPr>
          <w:rFonts w:ascii="Arial" w:hAnsi="Arial"/>
          <w:sz w:val="20"/>
          <w:lang w:val="en-GB"/>
        </w:rPr>
        <w:t xml:space="preserve"> </w:t>
      </w:r>
      <w:r w:rsidR="003F553E">
        <w:rPr>
          <w:rFonts w:ascii="Arial" w:hAnsi="Arial"/>
          <w:sz w:val="20"/>
          <w:lang w:val="en-GB"/>
        </w:rPr>
        <w:t xml:space="preserve">that took place </w:t>
      </w:r>
      <w:r>
        <w:rPr>
          <w:rFonts w:ascii="Arial" w:hAnsi="Arial"/>
          <w:sz w:val="20"/>
          <w:lang w:val="en-GB"/>
        </w:rPr>
        <w:t xml:space="preserve">in Warsaw in September 2014, a representative of the General Prosecutor’s Office of Tajikistan reported </w:t>
      </w:r>
      <w:r w:rsidR="008A2F04">
        <w:rPr>
          <w:rFonts w:ascii="Arial" w:hAnsi="Arial"/>
          <w:sz w:val="20"/>
          <w:lang w:val="en-GB"/>
        </w:rPr>
        <w:t xml:space="preserve">that </w:t>
      </w:r>
      <w:r>
        <w:rPr>
          <w:rFonts w:ascii="Arial" w:hAnsi="Arial"/>
          <w:sz w:val="20"/>
          <w:lang w:val="en-GB"/>
        </w:rPr>
        <w:t>his office had received 2</w:t>
      </w:r>
      <w:r w:rsidR="003F553E">
        <w:rPr>
          <w:rFonts w:ascii="Arial" w:hAnsi="Arial"/>
          <w:sz w:val="20"/>
          <w:lang w:val="en-GB"/>
        </w:rPr>
        <w:t>6</w:t>
      </w:r>
      <w:r>
        <w:rPr>
          <w:rFonts w:ascii="Arial" w:hAnsi="Arial"/>
          <w:sz w:val="20"/>
          <w:lang w:val="en-GB"/>
        </w:rPr>
        <w:t xml:space="preserve"> complaints</w:t>
      </w:r>
      <w:r w:rsidR="003F553E">
        <w:rPr>
          <w:rFonts w:ascii="Arial" w:hAnsi="Arial"/>
          <w:sz w:val="20"/>
          <w:lang w:val="en-GB"/>
        </w:rPr>
        <w:t xml:space="preserve"> </w:t>
      </w:r>
      <w:r w:rsidR="008A2F04">
        <w:rPr>
          <w:rFonts w:ascii="Arial" w:hAnsi="Arial"/>
          <w:sz w:val="20"/>
          <w:lang w:val="en-GB"/>
        </w:rPr>
        <w:t xml:space="preserve">regarding </w:t>
      </w:r>
      <w:r w:rsidR="003F553E">
        <w:rPr>
          <w:rFonts w:ascii="Arial" w:hAnsi="Arial"/>
          <w:sz w:val="20"/>
          <w:lang w:val="en-GB"/>
        </w:rPr>
        <w:t>torture or other ill-treatment</w:t>
      </w:r>
      <w:r>
        <w:rPr>
          <w:rFonts w:ascii="Arial" w:hAnsi="Arial"/>
          <w:sz w:val="20"/>
          <w:lang w:val="en-GB"/>
        </w:rPr>
        <w:t xml:space="preserve"> in 201</w:t>
      </w:r>
      <w:r w:rsidR="003F553E">
        <w:rPr>
          <w:rFonts w:ascii="Arial" w:hAnsi="Arial"/>
          <w:sz w:val="20"/>
          <w:lang w:val="en-GB"/>
        </w:rPr>
        <w:t>1</w:t>
      </w:r>
      <w:r>
        <w:rPr>
          <w:rFonts w:ascii="Arial" w:hAnsi="Arial"/>
          <w:sz w:val="20"/>
          <w:lang w:val="en-GB"/>
        </w:rPr>
        <w:t>,</w:t>
      </w:r>
      <w:r w:rsidR="003F553E">
        <w:rPr>
          <w:rFonts w:ascii="Arial" w:hAnsi="Arial"/>
          <w:sz w:val="20"/>
          <w:lang w:val="en-GB"/>
        </w:rPr>
        <w:t xml:space="preserve"> 22 in 2012,</w:t>
      </w:r>
      <w:r>
        <w:rPr>
          <w:rFonts w:ascii="Arial" w:hAnsi="Arial"/>
          <w:sz w:val="20"/>
          <w:lang w:val="en-GB"/>
        </w:rPr>
        <w:t xml:space="preserve"> 16 in 2013 and so far seven in 2014. </w:t>
      </w:r>
      <w:r w:rsidR="00BE520C">
        <w:rPr>
          <w:rFonts w:ascii="Arial" w:hAnsi="Arial"/>
          <w:sz w:val="20"/>
          <w:lang w:val="en-GB"/>
        </w:rPr>
        <w:t>The Ministry of Internal Affairs reported receiving 61 complaints o</w:t>
      </w:r>
      <w:r w:rsidR="00EE6C20">
        <w:rPr>
          <w:rFonts w:ascii="Arial" w:hAnsi="Arial"/>
          <w:sz w:val="20"/>
          <w:lang w:val="en-GB"/>
        </w:rPr>
        <w:t>f</w:t>
      </w:r>
      <w:r w:rsidR="00BE520C">
        <w:rPr>
          <w:rFonts w:ascii="Arial" w:hAnsi="Arial"/>
          <w:sz w:val="20"/>
          <w:lang w:val="en-GB"/>
        </w:rPr>
        <w:t xml:space="preserve"> torture or other ill-treatment in 2012. </w:t>
      </w:r>
      <w:r w:rsidR="00F0606B">
        <w:rPr>
          <w:rFonts w:ascii="Arial" w:hAnsi="Arial"/>
          <w:sz w:val="20"/>
          <w:lang w:val="en-GB"/>
        </w:rPr>
        <w:t>It</w:t>
      </w:r>
      <w:r w:rsidR="00BE520C">
        <w:rPr>
          <w:rFonts w:ascii="Arial" w:hAnsi="Arial"/>
          <w:sz w:val="20"/>
          <w:lang w:val="en-GB"/>
        </w:rPr>
        <w:t xml:space="preserve"> has not provided more up-to-date figures. </w:t>
      </w:r>
    </w:p>
    <w:p w:rsidR="00BE520C" w:rsidRDefault="00BE520C" w:rsidP="008E3EA9">
      <w:pPr>
        <w:jc w:val="both"/>
        <w:rPr>
          <w:rFonts w:ascii="Arial" w:hAnsi="Arial"/>
          <w:sz w:val="20"/>
          <w:lang w:val="en-GB"/>
        </w:rPr>
      </w:pPr>
    </w:p>
    <w:p w:rsidR="004C771A" w:rsidRDefault="003F553E" w:rsidP="008E3EA9">
      <w:pPr>
        <w:jc w:val="both"/>
        <w:rPr>
          <w:rFonts w:ascii="Arial" w:hAnsi="Arial"/>
          <w:sz w:val="20"/>
          <w:lang w:val="en-GB"/>
        </w:rPr>
      </w:pPr>
      <w:r>
        <w:rPr>
          <w:rFonts w:ascii="Arial" w:hAnsi="Arial"/>
          <w:sz w:val="20"/>
          <w:lang w:val="en-GB"/>
        </w:rPr>
        <w:t xml:space="preserve">The NGO Coalition against Torture registered </w:t>
      </w:r>
      <w:r w:rsidR="005A361A">
        <w:rPr>
          <w:rFonts w:ascii="Arial" w:hAnsi="Arial"/>
          <w:sz w:val="20"/>
          <w:lang w:val="en-GB"/>
        </w:rPr>
        <w:t>more than 100</w:t>
      </w:r>
      <w:r w:rsidR="00AC24F1">
        <w:rPr>
          <w:rFonts w:ascii="Arial" w:hAnsi="Arial"/>
          <w:sz w:val="20"/>
          <w:lang w:val="en-GB"/>
        </w:rPr>
        <w:t xml:space="preserve"> complaints between 2011 and 2014.</w:t>
      </w:r>
      <w:r w:rsidR="008B4E5B">
        <w:rPr>
          <w:rFonts w:ascii="Arial" w:hAnsi="Arial"/>
          <w:sz w:val="20"/>
          <w:lang w:val="en-GB"/>
        </w:rPr>
        <w:t xml:space="preserve"> Effective investigations were conducted in only very few cases. </w:t>
      </w:r>
      <w:r w:rsidR="006D43E7">
        <w:rPr>
          <w:rFonts w:ascii="Arial" w:hAnsi="Arial"/>
          <w:sz w:val="20"/>
          <w:lang w:val="en-GB"/>
        </w:rPr>
        <w:t xml:space="preserve">To our knowledge, in 2014, no criminal case was opened under Article 143 </w:t>
      </w:r>
      <w:r w:rsidR="00CB5DAE">
        <w:rPr>
          <w:rFonts w:ascii="Arial" w:hAnsi="Arial"/>
          <w:sz w:val="20"/>
          <w:lang w:val="en-GB"/>
        </w:rPr>
        <w:t>(</w:t>
      </w:r>
      <w:r w:rsidR="006D43E7">
        <w:rPr>
          <w:rFonts w:ascii="Arial" w:hAnsi="Arial"/>
          <w:sz w:val="20"/>
          <w:lang w:val="en-GB"/>
        </w:rPr>
        <w:t>torture</w:t>
      </w:r>
      <w:r w:rsidR="00CB5DAE">
        <w:rPr>
          <w:rFonts w:ascii="Arial" w:hAnsi="Arial"/>
          <w:sz w:val="20"/>
          <w:lang w:val="en-GB"/>
        </w:rPr>
        <w:t>)</w:t>
      </w:r>
      <w:r w:rsidR="00EF54B2">
        <w:rPr>
          <w:rFonts w:ascii="Arial" w:hAnsi="Arial"/>
          <w:sz w:val="20"/>
          <w:lang w:val="en-GB"/>
        </w:rPr>
        <w:t>.</w:t>
      </w:r>
    </w:p>
    <w:p w:rsidR="00805E54" w:rsidRDefault="00805E54" w:rsidP="008E3EA9">
      <w:pPr>
        <w:jc w:val="both"/>
        <w:rPr>
          <w:rFonts w:ascii="Arial" w:hAnsi="Arial"/>
          <w:sz w:val="20"/>
          <w:lang w:val="en-GB"/>
        </w:rPr>
      </w:pPr>
    </w:p>
    <w:p w:rsidR="00584D06" w:rsidRDefault="0087771B" w:rsidP="00584D06">
      <w:pPr>
        <w:jc w:val="both"/>
        <w:rPr>
          <w:rFonts w:ascii="Arial" w:hAnsi="Arial"/>
          <w:sz w:val="20"/>
        </w:rPr>
      </w:pPr>
      <w:r>
        <w:rPr>
          <w:rFonts w:ascii="Arial" w:hAnsi="Arial"/>
          <w:sz w:val="20"/>
        </w:rPr>
        <w:t>Local human rights groups</w:t>
      </w:r>
      <w:r w:rsidR="00584D06">
        <w:rPr>
          <w:rFonts w:ascii="Arial" w:hAnsi="Arial"/>
          <w:sz w:val="20"/>
        </w:rPr>
        <w:t xml:space="preserve"> believe that in many cases victims of torture or other forms of ill-treatment refrain from lodging complaints with the authorities or from seeking assistance from human rights groups as many victims and their families do not believe it is possible to obtain justice and/or because they</w:t>
      </w:r>
      <w:r w:rsidR="00584D06" w:rsidRPr="00E56DB2">
        <w:rPr>
          <w:rFonts w:ascii="Arial" w:hAnsi="Arial"/>
          <w:sz w:val="20"/>
        </w:rPr>
        <w:t xml:space="preserve"> </w:t>
      </w:r>
      <w:r w:rsidR="00584D06">
        <w:rPr>
          <w:rFonts w:ascii="Arial" w:hAnsi="Arial"/>
          <w:sz w:val="20"/>
        </w:rPr>
        <w:t>fear reprisals</w:t>
      </w:r>
      <w:r w:rsidR="00584D06" w:rsidRPr="00E56DB2">
        <w:rPr>
          <w:rFonts w:ascii="Arial" w:hAnsi="Arial"/>
          <w:sz w:val="20"/>
        </w:rPr>
        <w:t>.</w:t>
      </w:r>
      <w:r w:rsidR="00584D06">
        <w:rPr>
          <w:rFonts w:ascii="Arial" w:hAnsi="Arial"/>
          <w:sz w:val="20"/>
        </w:rPr>
        <w:t xml:space="preserve"> </w:t>
      </w:r>
    </w:p>
    <w:p w:rsidR="004C771A" w:rsidRDefault="004C771A" w:rsidP="008E3EA9">
      <w:pPr>
        <w:jc w:val="both"/>
        <w:rPr>
          <w:rFonts w:ascii="Arial" w:hAnsi="Arial"/>
          <w:sz w:val="20"/>
          <w:lang w:val="en-GB"/>
        </w:rPr>
      </w:pPr>
    </w:p>
    <w:p w:rsidR="00F32803" w:rsidRDefault="004C771A" w:rsidP="00D64BC3">
      <w:pPr>
        <w:jc w:val="both"/>
        <w:rPr>
          <w:rFonts w:ascii="Arial" w:hAnsi="Arial"/>
          <w:sz w:val="20"/>
          <w:lang w:val="en-GB"/>
        </w:rPr>
      </w:pPr>
      <w:r>
        <w:rPr>
          <w:rFonts w:ascii="Arial" w:hAnsi="Arial"/>
          <w:sz w:val="20"/>
          <w:lang w:val="en-GB"/>
        </w:rPr>
        <w:t xml:space="preserve">In 2012, the </w:t>
      </w:r>
      <w:r w:rsidRPr="00987BDE">
        <w:rPr>
          <w:rFonts w:ascii="Arial" w:hAnsi="Arial"/>
          <w:sz w:val="20"/>
          <w:lang w:val="en-GB"/>
        </w:rPr>
        <w:t>C</w:t>
      </w:r>
      <w:r>
        <w:rPr>
          <w:rFonts w:ascii="Arial" w:hAnsi="Arial"/>
          <w:sz w:val="20"/>
          <w:lang w:val="en-GB"/>
        </w:rPr>
        <w:t xml:space="preserve">ommittee against Torture </w:t>
      </w:r>
      <w:r w:rsidRPr="00987BDE">
        <w:rPr>
          <w:rFonts w:ascii="Arial" w:hAnsi="Arial"/>
          <w:sz w:val="20"/>
          <w:lang w:val="en-GB"/>
        </w:rPr>
        <w:t xml:space="preserve">expressed concern about the small number of convictions under domestic law for violations of the </w:t>
      </w:r>
      <w:r w:rsidR="00EE6C20" w:rsidRPr="00987BDE">
        <w:rPr>
          <w:rFonts w:ascii="Arial" w:hAnsi="Arial"/>
          <w:sz w:val="20"/>
          <w:lang w:val="en-GB"/>
        </w:rPr>
        <w:t>C</w:t>
      </w:r>
      <w:r w:rsidR="00EE6C20">
        <w:rPr>
          <w:rFonts w:ascii="Arial" w:hAnsi="Arial"/>
          <w:sz w:val="20"/>
          <w:lang w:val="en-GB"/>
        </w:rPr>
        <w:t>onvention against Torture</w:t>
      </w:r>
      <w:r w:rsidRPr="00987BDE">
        <w:rPr>
          <w:rFonts w:ascii="Arial" w:hAnsi="Arial"/>
          <w:sz w:val="20"/>
          <w:lang w:val="en-GB"/>
        </w:rPr>
        <w:t>, despite numerous allegations of torture.</w:t>
      </w:r>
      <w:r>
        <w:rPr>
          <w:rFonts w:ascii="Arial" w:hAnsi="Arial"/>
          <w:sz w:val="20"/>
          <w:lang w:val="en-GB"/>
        </w:rPr>
        <w:t xml:space="preserve"> </w:t>
      </w:r>
    </w:p>
    <w:p w:rsidR="00570149" w:rsidRDefault="00570149" w:rsidP="00D64BC3">
      <w:pPr>
        <w:jc w:val="both"/>
        <w:rPr>
          <w:rFonts w:ascii="Arial" w:hAnsi="Arial"/>
          <w:sz w:val="20"/>
        </w:rPr>
      </w:pPr>
    </w:p>
    <w:p w:rsidR="00570149" w:rsidRDefault="00526300" w:rsidP="00570149">
      <w:pPr>
        <w:jc w:val="both"/>
        <w:rPr>
          <w:rFonts w:ascii="Arial" w:hAnsi="Arial"/>
          <w:sz w:val="20"/>
          <w:lang w:val="fr-FR"/>
        </w:rPr>
      </w:pPr>
      <w:r>
        <w:rPr>
          <w:rFonts w:ascii="Arial" w:hAnsi="Arial"/>
          <w:sz w:val="20"/>
          <w:lang w:val="fr-FR"/>
        </w:rPr>
        <w:t>In Tajikistan</w:t>
      </w:r>
      <w:r w:rsidR="00570149">
        <w:rPr>
          <w:rFonts w:ascii="Arial" w:hAnsi="Arial"/>
          <w:sz w:val="20"/>
          <w:lang w:val="fr-FR"/>
        </w:rPr>
        <w:t xml:space="preserve">, torture complaints are examined by the internal security services of the Ministry of Internal Affairs, the State Committee for National Security, the Drug Control Agency or other law enforcement agencies – if they are submitted to these very agencies that are implicated in the torture complaint – or by prosecutors. If </w:t>
      </w:r>
      <w:r w:rsidR="001D31BD">
        <w:rPr>
          <w:rFonts w:ascii="Arial" w:hAnsi="Arial"/>
          <w:sz w:val="20"/>
          <w:lang w:val="fr-FR"/>
        </w:rPr>
        <w:t xml:space="preserve">the internal security services </w:t>
      </w:r>
      <w:r w:rsidR="00162983">
        <w:rPr>
          <w:rFonts w:ascii="Arial" w:hAnsi="Arial"/>
          <w:sz w:val="20"/>
          <w:lang w:val="fr-FR"/>
        </w:rPr>
        <w:t>d</w:t>
      </w:r>
      <w:r w:rsidR="00F95A6A">
        <w:rPr>
          <w:rFonts w:ascii="Arial" w:hAnsi="Arial"/>
          <w:sz w:val="20"/>
          <w:lang w:val="fr-FR"/>
        </w:rPr>
        <w:t xml:space="preserve">o not find evidence of torture or other ill-treatment that </w:t>
      </w:r>
      <w:r w:rsidR="00AD5DE1">
        <w:rPr>
          <w:rFonts w:ascii="Arial" w:hAnsi="Arial"/>
          <w:sz w:val="20"/>
          <w:lang w:val="fr-FR"/>
        </w:rPr>
        <w:t xml:space="preserve">they consider </w:t>
      </w:r>
      <w:r w:rsidR="00F95A6A">
        <w:rPr>
          <w:rFonts w:ascii="Arial" w:hAnsi="Arial"/>
          <w:sz w:val="20"/>
          <w:lang w:val="fr-FR"/>
        </w:rPr>
        <w:t xml:space="preserve">requires the opening of a criminal case, domestic legislation does not </w:t>
      </w:r>
      <w:r w:rsidR="00AD5DE1">
        <w:rPr>
          <w:rFonts w:ascii="Arial" w:hAnsi="Arial"/>
          <w:sz w:val="20"/>
          <w:lang w:val="fr-FR"/>
        </w:rPr>
        <w:t>oblige them to pass</w:t>
      </w:r>
      <w:r w:rsidR="00F95A6A">
        <w:rPr>
          <w:rFonts w:ascii="Arial" w:hAnsi="Arial"/>
          <w:sz w:val="20"/>
          <w:lang w:val="fr-FR"/>
        </w:rPr>
        <w:t xml:space="preserve"> </w:t>
      </w:r>
      <w:r w:rsidR="00AD5DE1">
        <w:rPr>
          <w:rFonts w:ascii="Arial" w:hAnsi="Arial"/>
          <w:sz w:val="20"/>
          <w:lang w:val="fr-FR"/>
        </w:rPr>
        <w:t xml:space="preserve">on </w:t>
      </w:r>
      <w:r w:rsidR="00F95A6A">
        <w:rPr>
          <w:rFonts w:ascii="Arial" w:hAnsi="Arial"/>
          <w:sz w:val="20"/>
          <w:lang w:val="fr-FR"/>
        </w:rPr>
        <w:t xml:space="preserve">the case information </w:t>
      </w:r>
      <w:r w:rsidR="00570149">
        <w:rPr>
          <w:rFonts w:ascii="Arial" w:hAnsi="Arial"/>
          <w:sz w:val="20"/>
          <w:lang w:val="fr-FR"/>
        </w:rPr>
        <w:t xml:space="preserve">to the Prosecutor’s Office. </w:t>
      </w:r>
    </w:p>
    <w:p w:rsidR="00570149" w:rsidRDefault="00570149" w:rsidP="00570149">
      <w:pPr>
        <w:jc w:val="both"/>
        <w:rPr>
          <w:rFonts w:ascii="Arial" w:hAnsi="Arial"/>
          <w:sz w:val="20"/>
          <w:lang w:val="fr-FR"/>
        </w:rPr>
      </w:pPr>
    </w:p>
    <w:p w:rsidR="00B341BD" w:rsidRDefault="00B341BD" w:rsidP="00570149">
      <w:pPr>
        <w:jc w:val="both"/>
        <w:rPr>
          <w:rFonts w:ascii="Arial" w:hAnsi="Arial"/>
          <w:sz w:val="20"/>
          <w:lang w:val="fr-FR"/>
        </w:rPr>
      </w:pPr>
      <w:r>
        <w:rPr>
          <w:rFonts w:ascii="Arial" w:hAnsi="Arial"/>
          <w:sz w:val="20"/>
          <w:lang w:val="fr-FR"/>
        </w:rPr>
        <w:t xml:space="preserve">When prosecutors initiate torture investigations, </w:t>
      </w:r>
      <w:r w:rsidR="007B07A3">
        <w:rPr>
          <w:rFonts w:ascii="Arial" w:hAnsi="Arial"/>
          <w:sz w:val="20"/>
          <w:lang w:val="fr-FR"/>
        </w:rPr>
        <w:t xml:space="preserve">they lead the investigation, but </w:t>
      </w:r>
      <w:r w:rsidR="00436F90">
        <w:rPr>
          <w:rFonts w:ascii="Arial" w:hAnsi="Arial"/>
          <w:sz w:val="20"/>
          <w:lang w:val="fr-FR"/>
        </w:rPr>
        <w:t>domestic legislation</w:t>
      </w:r>
      <w:r w:rsidR="0024605F">
        <w:rPr>
          <w:rFonts w:ascii="Arial" w:hAnsi="Arial"/>
          <w:sz w:val="20"/>
          <w:lang w:val="fr-FR"/>
        </w:rPr>
        <w:t xml:space="preserve"> </w:t>
      </w:r>
      <w:r w:rsidR="008548B2">
        <w:rPr>
          <w:rFonts w:ascii="Arial" w:hAnsi="Arial"/>
          <w:sz w:val="20"/>
          <w:lang w:val="fr-FR"/>
        </w:rPr>
        <w:t>permits</w:t>
      </w:r>
      <w:r w:rsidR="0024605F">
        <w:rPr>
          <w:rFonts w:ascii="Arial" w:hAnsi="Arial"/>
          <w:sz w:val="20"/>
          <w:lang w:val="fr-FR"/>
        </w:rPr>
        <w:t xml:space="preserve"> them to</w:t>
      </w:r>
      <w:r w:rsidR="007B07A3">
        <w:rPr>
          <w:rFonts w:ascii="Arial" w:hAnsi="Arial"/>
          <w:sz w:val="20"/>
          <w:lang w:val="fr-FR"/>
        </w:rPr>
        <w:t xml:space="preserve"> order police to undertake investigative activities and gather evidence. </w:t>
      </w:r>
      <w:r w:rsidR="00635D0A" w:rsidRPr="008B6245">
        <w:rPr>
          <w:rFonts w:ascii="Arial" w:hAnsi="Arial"/>
          <w:sz w:val="20"/>
          <w:lang w:val="de-DE"/>
        </w:rPr>
        <w:t xml:space="preserve">Prosecutors and policemen from the same regions </w:t>
      </w:r>
      <w:r w:rsidR="00635D0A">
        <w:rPr>
          <w:rFonts w:ascii="Arial" w:hAnsi="Arial"/>
          <w:sz w:val="20"/>
          <w:lang w:val="de-DE"/>
        </w:rPr>
        <w:t xml:space="preserve">often </w:t>
      </w:r>
      <w:r w:rsidR="00635D0A" w:rsidRPr="008B6245">
        <w:rPr>
          <w:rFonts w:ascii="Arial" w:hAnsi="Arial"/>
          <w:sz w:val="20"/>
          <w:lang w:val="de-DE"/>
        </w:rPr>
        <w:t xml:space="preserve">have close professional and </w:t>
      </w:r>
      <w:r w:rsidR="00635D0A" w:rsidRPr="00DD00F0">
        <w:rPr>
          <w:rFonts w:ascii="Arial" w:hAnsi="Arial"/>
          <w:sz w:val="20"/>
          <w:lang w:val="de-DE"/>
        </w:rPr>
        <w:t xml:space="preserve">sometimes even personal </w:t>
      </w:r>
      <w:r w:rsidR="00635D0A" w:rsidRPr="008B6245">
        <w:rPr>
          <w:rFonts w:ascii="Arial" w:hAnsi="Arial"/>
          <w:sz w:val="20"/>
          <w:lang w:val="de-DE"/>
        </w:rPr>
        <w:t>links</w:t>
      </w:r>
      <w:r w:rsidR="00635D0A" w:rsidRPr="00DD00F0">
        <w:rPr>
          <w:rFonts w:ascii="Arial" w:hAnsi="Arial"/>
          <w:sz w:val="20"/>
          <w:lang w:val="de-DE"/>
        </w:rPr>
        <w:t>.</w:t>
      </w:r>
      <w:r w:rsidR="00635D0A" w:rsidRPr="00BF569A">
        <w:rPr>
          <w:rFonts w:ascii="Arial" w:hAnsi="Arial"/>
          <w:b/>
          <w:sz w:val="20"/>
          <w:lang w:val="de-DE"/>
        </w:rPr>
        <w:t xml:space="preserve"> </w:t>
      </w:r>
      <w:r w:rsidR="00635D0A">
        <w:rPr>
          <w:rFonts w:ascii="Arial" w:hAnsi="Arial"/>
          <w:sz w:val="20"/>
          <w:lang w:val="fr-FR"/>
        </w:rPr>
        <w:t>This clearly hinders the possibilities for impartial and independent investigations to be conducted.</w:t>
      </w:r>
    </w:p>
    <w:p w:rsidR="00B341BD" w:rsidRDefault="00B341BD" w:rsidP="00570149">
      <w:pPr>
        <w:jc w:val="both"/>
        <w:rPr>
          <w:rFonts w:ascii="Arial" w:hAnsi="Arial"/>
          <w:sz w:val="20"/>
          <w:lang w:val="fr-FR"/>
        </w:rPr>
      </w:pPr>
    </w:p>
    <w:p w:rsidR="00B341BD" w:rsidRDefault="00635D0A" w:rsidP="00570149">
      <w:pPr>
        <w:jc w:val="both"/>
        <w:rPr>
          <w:rFonts w:ascii="Arial" w:hAnsi="Arial"/>
          <w:sz w:val="20"/>
          <w:lang w:val="de-DE"/>
        </w:rPr>
      </w:pPr>
      <w:r>
        <w:rPr>
          <w:rFonts w:ascii="Arial" w:hAnsi="Arial"/>
          <w:sz w:val="20"/>
          <w:lang w:val="fr-FR"/>
        </w:rPr>
        <w:t>In addition, p</w:t>
      </w:r>
      <w:r w:rsidR="00570149">
        <w:rPr>
          <w:rFonts w:ascii="Arial" w:hAnsi="Arial"/>
          <w:sz w:val="20"/>
          <w:lang w:val="fr-FR"/>
        </w:rPr>
        <w:t xml:space="preserve">rosecutors have an inherent conflict of interest when investigating torture complaints. The law envisages that prosecutors carry out both the function of criminal prosecution and that of supervision over the legality of the investigative process, which creates a conflict of interest. </w:t>
      </w:r>
      <w:r w:rsidR="00570149" w:rsidRPr="005066E6">
        <w:rPr>
          <w:rFonts w:ascii="Arial" w:hAnsi="Arial"/>
          <w:sz w:val="20"/>
          <w:lang w:val="de-DE"/>
        </w:rPr>
        <w:t>Within the</w:t>
      </w:r>
      <w:r w:rsidR="00570149">
        <w:rPr>
          <w:rFonts w:ascii="Arial" w:hAnsi="Arial"/>
          <w:sz w:val="20"/>
          <w:lang w:val="de-DE"/>
        </w:rPr>
        <w:t xml:space="preserve"> function of</w:t>
      </w:r>
      <w:r w:rsidR="00570149" w:rsidRPr="005066E6">
        <w:rPr>
          <w:rFonts w:ascii="Arial" w:hAnsi="Arial"/>
          <w:sz w:val="20"/>
          <w:lang w:val="de-DE"/>
        </w:rPr>
        <w:t xml:space="preserve"> criminal prosecution, the prosecutor presents </w:t>
      </w:r>
      <w:r w:rsidR="00570149">
        <w:rPr>
          <w:rFonts w:ascii="Arial" w:hAnsi="Arial"/>
          <w:sz w:val="20"/>
          <w:lang w:val="de-DE"/>
        </w:rPr>
        <w:t>indictments in courts</w:t>
      </w:r>
      <w:r w:rsidR="00570149" w:rsidRPr="005066E6">
        <w:rPr>
          <w:rFonts w:ascii="Arial" w:hAnsi="Arial"/>
          <w:sz w:val="20"/>
          <w:lang w:val="de-DE"/>
        </w:rPr>
        <w:t xml:space="preserve"> </w:t>
      </w:r>
      <w:r w:rsidR="00570149">
        <w:rPr>
          <w:rFonts w:ascii="Arial" w:hAnsi="Arial"/>
          <w:sz w:val="20"/>
          <w:lang w:val="de-DE"/>
        </w:rPr>
        <w:t>that are frequently based on information provided by police or other law enforcement agencies</w:t>
      </w:r>
      <w:r w:rsidR="00570149" w:rsidRPr="005066E6">
        <w:rPr>
          <w:rFonts w:ascii="Arial" w:hAnsi="Arial"/>
          <w:sz w:val="20"/>
          <w:lang w:val="de-DE"/>
        </w:rPr>
        <w:t xml:space="preserve">. By revealing violations (including torture) </w:t>
      </w:r>
      <w:r w:rsidR="00570149">
        <w:rPr>
          <w:rFonts w:ascii="Arial" w:hAnsi="Arial"/>
          <w:sz w:val="20"/>
          <w:lang w:val="de-DE"/>
        </w:rPr>
        <w:t>that took place during their</w:t>
      </w:r>
      <w:r w:rsidR="00570149" w:rsidRPr="005066E6">
        <w:rPr>
          <w:rFonts w:ascii="Arial" w:hAnsi="Arial"/>
          <w:sz w:val="20"/>
          <w:lang w:val="de-DE"/>
        </w:rPr>
        <w:t xml:space="preserve"> investi</w:t>
      </w:r>
      <w:r w:rsidR="00570149">
        <w:rPr>
          <w:rFonts w:ascii="Arial" w:hAnsi="Arial"/>
          <w:sz w:val="20"/>
          <w:lang w:val="de-DE"/>
        </w:rPr>
        <w:t>gative activities, the prosecutor</w:t>
      </w:r>
      <w:r w:rsidR="00570149" w:rsidRPr="005066E6">
        <w:rPr>
          <w:rFonts w:ascii="Arial" w:hAnsi="Arial"/>
          <w:sz w:val="20"/>
          <w:lang w:val="de-DE"/>
        </w:rPr>
        <w:t xml:space="preserve"> undermine</w:t>
      </w:r>
      <w:r w:rsidR="00570149">
        <w:rPr>
          <w:rFonts w:ascii="Arial" w:hAnsi="Arial"/>
          <w:sz w:val="20"/>
          <w:lang w:val="de-DE"/>
        </w:rPr>
        <w:t>s</w:t>
      </w:r>
      <w:r w:rsidR="00570149" w:rsidRPr="005066E6">
        <w:rPr>
          <w:rFonts w:ascii="Arial" w:hAnsi="Arial"/>
          <w:sz w:val="20"/>
          <w:lang w:val="de-DE"/>
        </w:rPr>
        <w:t xml:space="preserve"> the legit</w:t>
      </w:r>
      <w:r w:rsidR="00570149">
        <w:rPr>
          <w:rFonts w:ascii="Arial" w:hAnsi="Arial"/>
          <w:sz w:val="20"/>
          <w:lang w:val="de-DE"/>
        </w:rPr>
        <w:t>imacy of the collected evidence</w:t>
      </w:r>
      <w:r w:rsidR="00570149" w:rsidRPr="005066E6">
        <w:rPr>
          <w:rFonts w:ascii="Arial" w:hAnsi="Arial"/>
          <w:sz w:val="20"/>
          <w:lang w:val="de-DE"/>
        </w:rPr>
        <w:t xml:space="preserve"> and weaken</w:t>
      </w:r>
      <w:r w:rsidR="00570149">
        <w:rPr>
          <w:rFonts w:ascii="Arial" w:hAnsi="Arial"/>
          <w:sz w:val="20"/>
          <w:lang w:val="de-DE"/>
        </w:rPr>
        <w:t>s</w:t>
      </w:r>
      <w:r w:rsidR="00570149" w:rsidRPr="005066E6">
        <w:rPr>
          <w:rFonts w:ascii="Arial" w:hAnsi="Arial"/>
          <w:sz w:val="20"/>
          <w:lang w:val="de-DE"/>
        </w:rPr>
        <w:t xml:space="preserve"> the arguments presented in </w:t>
      </w:r>
      <w:r w:rsidR="00570149">
        <w:rPr>
          <w:rFonts w:ascii="Arial" w:hAnsi="Arial"/>
          <w:sz w:val="20"/>
          <w:lang w:val="de-DE"/>
        </w:rPr>
        <w:t>the indictment.</w:t>
      </w:r>
      <w:r w:rsidR="00570149" w:rsidRPr="008B6245">
        <w:rPr>
          <w:rFonts w:ascii="Arial" w:hAnsi="Arial"/>
          <w:sz w:val="20"/>
          <w:lang w:val="de-DE"/>
        </w:rPr>
        <w:t xml:space="preserve"> </w:t>
      </w:r>
    </w:p>
    <w:p w:rsidR="00987BDE" w:rsidRDefault="00987BDE" w:rsidP="00D64BC3">
      <w:pPr>
        <w:jc w:val="both"/>
        <w:rPr>
          <w:rFonts w:ascii="Arial" w:hAnsi="Arial"/>
          <w:sz w:val="20"/>
        </w:rPr>
      </w:pPr>
    </w:p>
    <w:p w:rsidR="00E743CD" w:rsidRPr="00E743CD" w:rsidRDefault="00D51BF2" w:rsidP="00E743CD">
      <w:pPr>
        <w:jc w:val="both"/>
        <w:rPr>
          <w:rFonts w:ascii="Arial" w:hAnsi="Arial"/>
          <w:sz w:val="20"/>
          <w:lang w:val="fr-FR"/>
        </w:rPr>
      </w:pPr>
      <w:r>
        <w:rPr>
          <w:rFonts w:ascii="Arial" w:hAnsi="Arial"/>
          <w:sz w:val="20"/>
        </w:rPr>
        <w:t xml:space="preserve">The authorities should focus their efforts on ensuring that investigations are </w:t>
      </w:r>
      <w:r w:rsidR="00884AE3">
        <w:rPr>
          <w:rFonts w:ascii="Arial" w:hAnsi="Arial"/>
          <w:sz w:val="20"/>
        </w:rPr>
        <w:t>instigated</w:t>
      </w:r>
      <w:r>
        <w:rPr>
          <w:rFonts w:ascii="Arial" w:hAnsi="Arial"/>
          <w:sz w:val="20"/>
        </w:rPr>
        <w:t xml:space="preserve"> promptly after receiving </w:t>
      </w:r>
      <w:r w:rsidR="00E743CD">
        <w:rPr>
          <w:rFonts w:ascii="Arial" w:hAnsi="Arial"/>
          <w:sz w:val="20"/>
        </w:rPr>
        <w:t xml:space="preserve">any credible </w:t>
      </w:r>
      <w:r>
        <w:rPr>
          <w:rFonts w:ascii="Arial" w:hAnsi="Arial"/>
          <w:sz w:val="20"/>
        </w:rPr>
        <w:t xml:space="preserve">information about torture or </w:t>
      </w:r>
      <w:r w:rsidR="00884AE3">
        <w:rPr>
          <w:rFonts w:ascii="Arial" w:hAnsi="Arial"/>
          <w:sz w:val="20"/>
        </w:rPr>
        <w:t>other ill-treatment</w:t>
      </w:r>
      <w:r w:rsidR="00E743CD">
        <w:rPr>
          <w:rFonts w:ascii="Arial" w:hAnsi="Arial"/>
          <w:sz w:val="20"/>
        </w:rPr>
        <w:t>, even if presented by a witness, a lawyer, a doctor, a relative or a civil society organization. I</w:t>
      </w:r>
      <w:r w:rsidR="0013252E">
        <w:rPr>
          <w:rFonts w:ascii="Arial" w:hAnsi="Arial"/>
          <w:sz w:val="20"/>
        </w:rPr>
        <w:t>n addition, i</w:t>
      </w:r>
      <w:r w:rsidR="00E743CD">
        <w:rPr>
          <w:rFonts w:ascii="Arial" w:hAnsi="Arial"/>
          <w:sz w:val="20"/>
        </w:rPr>
        <w:t xml:space="preserve">nvestigations on allegations of torture or ill-treatment must be </w:t>
      </w:r>
      <w:r w:rsidR="00884AE3">
        <w:rPr>
          <w:rFonts w:ascii="Arial" w:hAnsi="Arial"/>
          <w:sz w:val="20"/>
        </w:rPr>
        <w:t>conducted thoroughly and impartially by an independent body</w:t>
      </w:r>
      <w:r w:rsidR="00E743CD">
        <w:rPr>
          <w:rFonts w:ascii="Arial" w:hAnsi="Arial"/>
          <w:sz w:val="20"/>
        </w:rPr>
        <w:t xml:space="preserve"> with no hierarchical or institutional link to the alleged perpetrator</w:t>
      </w:r>
      <w:r w:rsidR="00884AE3">
        <w:rPr>
          <w:rFonts w:ascii="Arial" w:hAnsi="Arial"/>
          <w:sz w:val="20"/>
        </w:rPr>
        <w:t xml:space="preserve">. </w:t>
      </w:r>
      <w:r w:rsidR="00E743CD">
        <w:rPr>
          <w:rFonts w:ascii="Arial" w:hAnsi="Arial"/>
          <w:sz w:val="20"/>
        </w:rPr>
        <w:t xml:space="preserve">In this regard, an independent body should be established and endowed with sufficient authority and competence to conduct prompt, thorough and effective investigations into all allegations of torture or other ill-treatment. </w:t>
      </w:r>
      <w:r w:rsidR="00E743CD" w:rsidRPr="005F10B5">
        <w:rPr>
          <w:rFonts w:ascii="Arial" w:hAnsi="Arial"/>
          <w:sz w:val="20"/>
        </w:rPr>
        <w:t>Both the Committee against Torture and the Special Rapporteur on torture recommended Tajikistan to “</w:t>
      </w:r>
      <w:r w:rsidR="00E743CD" w:rsidRPr="005F10B5">
        <w:rPr>
          <w:rFonts w:ascii="Arial" w:hAnsi="Arial"/>
          <w:sz w:val="20"/>
          <w:lang w:val="en-GB"/>
        </w:rPr>
        <w:t xml:space="preserve">establish an effective and independent (investigation mechanism) with no connection to the body prosecuting the case against the alleged victim” (Recommendation 11(a) of the Committee against Torture and </w:t>
      </w:r>
      <w:r w:rsidR="00E743CD" w:rsidRPr="005F10B5">
        <w:rPr>
          <w:rFonts w:ascii="Arial" w:hAnsi="Arial"/>
          <w:bCs/>
          <w:sz w:val="20"/>
          <w:lang w:val="de-DE"/>
        </w:rPr>
        <w:t>Recommendation 100 (g) of the Special Rapporteur on torture).</w:t>
      </w:r>
    </w:p>
    <w:p w:rsidR="00E743CD" w:rsidRDefault="00E743CD" w:rsidP="00D64BC3">
      <w:pPr>
        <w:jc w:val="both"/>
        <w:rPr>
          <w:rFonts w:ascii="Arial" w:hAnsi="Arial"/>
          <w:sz w:val="20"/>
        </w:rPr>
      </w:pPr>
    </w:p>
    <w:p w:rsidR="00F0606B" w:rsidRPr="007B2F46" w:rsidRDefault="00E743CD" w:rsidP="00E743CD">
      <w:pPr>
        <w:jc w:val="both"/>
        <w:rPr>
          <w:rFonts w:ascii="Arial" w:hAnsi="Arial"/>
          <w:sz w:val="20"/>
          <w:lang w:val="de-DE"/>
        </w:rPr>
      </w:pPr>
      <w:r>
        <w:rPr>
          <w:rFonts w:ascii="Arial" w:hAnsi="Arial"/>
          <w:sz w:val="20"/>
        </w:rPr>
        <w:t>In addition, t</w:t>
      </w:r>
      <w:r w:rsidR="00F0606B">
        <w:rPr>
          <w:rFonts w:ascii="Arial" w:hAnsi="Arial"/>
          <w:sz w:val="20"/>
          <w:lang w:val="de-DE"/>
        </w:rPr>
        <w:t xml:space="preserve">he Committee against Torture urged the Tajikistani authorities to “(p)rosecute </w:t>
      </w:r>
      <w:r w:rsidR="00F0606B" w:rsidRPr="00423016">
        <w:rPr>
          <w:rFonts w:ascii="Arial" w:hAnsi="Arial"/>
          <w:sz w:val="20"/>
          <w:lang w:val="en-GB"/>
        </w:rPr>
        <w:t>those who are found to be responsible, and report publicly on the outcomes of</w:t>
      </w:r>
      <w:r w:rsidR="00F0606B">
        <w:rPr>
          <w:rFonts w:ascii="Arial" w:hAnsi="Arial"/>
          <w:sz w:val="20"/>
          <w:lang w:val="en-GB"/>
        </w:rPr>
        <w:t xml:space="preserve"> such prosecutions”</w:t>
      </w:r>
      <w:r w:rsidR="00F0606B" w:rsidRPr="00423016">
        <w:rPr>
          <w:rFonts w:ascii="Arial" w:hAnsi="Arial"/>
          <w:sz w:val="20"/>
          <w:lang w:val="en-GB"/>
        </w:rPr>
        <w:t xml:space="preserve"> (</w:t>
      </w:r>
      <w:r w:rsidR="00F0606B">
        <w:rPr>
          <w:rFonts w:ascii="Arial" w:hAnsi="Arial"/>
          <w:sz w:val="20"/>
          <w:lang w:val="en-GB"/>
        </w:rPr>
        <w:t>Recommendations</w:t>
      </w:r>
      <w:r w:rsidR="00F0606B" w:rsidRPr="00423016">
        <w:rPr>
          <w:rFonts w:ascii="Arial" w:hAnsi="Arial"/>
          <w:sz w:val="20"/>
          <w:lang w:val="en-GB"/>
        </w:rPr>
        <w:t xml:space="preserve"> 9(a))</w:t>
      </w:r>
      <w:r w:rsidR="00F0606B">
        <w:rPr>
          <w:rFonts w:ascii="Arial" w:hAnsi="Arial"/>
          <w:sz w:val="20"/>
          <w:lang w:val="en-GB"/>
        </w:rPr>
        <w:t>.</w:t>
      </w:r>
    </w:p>
    <w:p w:rsidR="00A338B2" w:rsidRDefault="00A338B2" w:rsidP="00D64BC3">
      <w:pPr>
        <w:jc w:val="both"/>
        <w:rPr>
          <w:rFonts w:ascii="Arial" w:hAnsi="Arial"/>
          <w:sz w:val="20"/>
          <w:lang w:val="fr-FR"/>
        </w:rPr>
      </w:pPr>
    </w:p>
    <w:p w:rsidR="00323FC1" w:rsidRPr="00687764" w:rsidRDefault="00687764" w:rsidP="008E3EA9">
      <w:pPr>
        <w:jc w:val="both"/>
        <w:rPr>
          <w:rFonts w:ascii="Arial" w:hAnsi="Arial"/>
          <w:sz w:val="20"/>
          <w:u w:val="single"/>
          <w:lang w:val="fr-FR"/>
        </w:rPr>
      </w:pPr>
      <w:r w:rsidRPr="00687764">
        <w:rPr>
          <w:rFonts w:ascii="Arial" w:hAnsi="Arial"/>
          <w:sz w:val="20"/>
          <w:u w:val="single"/>
          <w:lang w:val="fr-FR"/>
        </w:rPr>
        <w:t>No lenience for torturers</w:t>
      </w:r>
    </w:p>
    <w:p w:rsidR="009659C8" w:rsidRDefault="009659C8" w:rsidP="008E3EA9">
      <w:pPr>
        <w:jc w:val="both"/>
        <w:rPr>
          <w:rFonts w:ascii="Arial" w:hAnsi="Arial"/>
          <w:sz w:val="20"/>
          <w:lang w:val="fr-FR"/>
        </w:rPr>
      </w:pPr>
      <w:r>
        <w:rPr>
          <w:rFonts w:ascii="Arial" w:hAnsi="Arial"/>
          <w:sz w:val="20"/>
          <w:lang w:val="fr-FR"/>
        </w:rPr>
        <w:t>We are concerned that domestic legislation does not ex</w:t>
      </w:r>
      <w:r w:rsidR="00EE048C">
        <w:rPr>
          <w:rFonts w:ascii="Arial" w:hAnsi="Arial"/>
          <w:sz w:val="20"/>
          <w:lang w:val="fr-FR"/>
        </w:rPr>
        <w:t>c</w:t>
      </w:r>
      <w:r>
        <w:rPr>
          <w:rFonts w:ascii="Arial" w:hAnsi="Arial"/>
          <w:sz w:val="20"/>
          <w:lang w:val="fr-FR"/>
        </w:rPr>
        <w:t xml:space="preserve">lude perpetrators of torture or other ill-treatment from benefitting from prisoners amnesties and we are aware of several cases in recent years where torturers were released from prison following such amnesties or had their sentences reduced. We are also concerned that Tajikistani legislation contains a statue of limitations applicable to </w:t>
      </w:r>
      <w:r w:rsidR="00571068">
        <w:rPr>
          <w:rFonts w:ascii="Arial" w:hAnsi="Arial"/>
          <w:sz w:val="20"/>
          <w:lang w:val="fr-FR"/>
        </w:rPr>
        <w:t xml:space="preserve">the crimes of </w:t>
      </w:r>
      <w:r>
        <w:rPr>
          <w:rFonts w:ascii="Arial" w:hAnsi="Arial"/>
          <w:sz w:val="20"/>
          <w:lang w:val="fr-FR"/>
        </w:rPr>
        <w:t>torture or other ill-treatment.</w:t>
      </w:r>
    </w:p>
    <w:p w:rsidR="009659C8" w:rsidRDefault="009659C8" w:rsidP="008E3EA9">
      <w:pPr>
        <w:jc w:val="both"/>
        <w:rPr>
          <w:rFonts w:ascii="Arial" w:hAnsi="Arial"/>
          <w:sz w:val="20"/>
          <w:lang w:val="fr-FR"/>
        </w:rPr>
      </w:pPr>
    </w:p>
    <w:p w:rsidR="00352E24" w:rsidRDefault="008E3EA9" w:rsidP="008E3EA9">
      <w:pPr>
        <w:jc w:val="both"/>
        <w:rPr>
          <w:rFonts w:ascii="Arial" w:hAnsi="Arial"/>
          <w:sz w:val="20"/>
          <w:lang w:val="en-GB"/>
        </w:rPr>
      </w:pPr>
      <w:r>
        <w:rPr>
          <w:rFonts w:ascii="Arial" w:hAnsi="Arial"/>
          <w:sz w:val="20"/>
          <w:lang w:val="fr-FR"/>
        </w:rPr>
        <w:t xml:space="preserve">The Committee against Torture recommended Tajiksitan to </w:t>
      </w:r>
      <w:r>
        <w:rPr>
          <w:rFonts w:ascii="Arial" w:hAnsi="Arial"/>
          <w:sz w:val="20"/>
          <w:lang w:val="en-GB"/>
        </w:rPr>
        <w:t>“</w:t>
      </w:r>
      <w:r w:rsidRPr="008E3EA9">
        <w:rPr>
          <w:rFonts w:ascii="Arial" w:hAnsi="Arial"/>
          <w:sz w:val="20"/>
          <w:lang w:val="en-GB"/>
        </w:rPr>
        <w:t xml:space="preserve">ensure that the Law on Amnesty contain clear provisions stipulating that no person convicted for the crime of torture will be entitled to benefit from amnesties, and that such prohibition is strictly complied </w:t>
      </w:r>
      <w:r>
        <w:rPr>
          <w:rFonts w:ascii="Arial" w:hAnsi="Arial"/>
          <w:sz w:val="20"/>
          <w:lang w:val="en-GB"/>
        </w:rPr>
        <w:t>with in practice” (Recommenation</w:t>
      </w:r>
      <w:r w:rsidRPr="008E3EA9">
        <w:rPr>
          <w:rFonts w:ascii="Arial" w:hAnsi="Arial"/>
          <w:sz w:val="20"/>
          <w:lang w:val="en-GB"/>
        </w:rPr>
        <w:t xml:space="preserve"> 7)</w:t>
      </w:r>
      <w:r>
        <w:rPr>
          <w:rFonts w:ascii="Arial" w:hAnsi="Arial"/>
          <w:sz w:val="20"/>
          <w:lang w:val="en-GB"/>
        </w:rPr>
        <w:t>.</w:t>
      </w:r>
      <w:r w:rsidR="00562010">
        <w:rPr>
          <w:rFonts w:ascii="Arial" w:hAnsi="Arial"/>
          <w:sz w:val="20"/>
          <w:lang w:val="en-GB"/>
        </w:rPr>
        <w:t xml:space="preserve"> </w:t>
      </w:r>
      <w:r w:rsidR="00352E24">
        <w:rPr>
          <w:rFonts w:ascii="Arial" w:hAnsi="Arial"/>
          <w:sz w:val="20"/>
          <w:lang w:val="en-GB"/>
        </w:rPr>
        <w:t xml:space="preserve">The Special Rapporteur on torture called on the authorities to “(r)evoke the legal </w:t>
      </w:r>
      <w:r w:rsidR="00352E24" w:rsidRPr="004647D9">
        <w:rPr>
          <w:rFonts w:ascii="Arial" w:hAnsi="Arial"/>
          <w:bCs/>
          <w:sz w:val="20"/>
          <w:lang w:val="de-DE"/>
        </w:rPr>
        <w:t>provisions of the Code of Criminal Procedure allowing the termination of criminal proceedings and exempting defendants from criminal liability by reason of (...) expiration of the statute of limitations for criminal prosecution, whenever the case concerns allegations of torture and ill-treatment. (Recommendation 99(d))</w:t>
      </w:r>
    </w:p>
    <w:p w:rsidR="002625D7" w:rsidRDefault="002625D7" w:rsidP="008E3EA9">
      <w:pPr>
        <w:jc w:val="both"/>
        <w:rPr>
          <w:rFonts w:ascii="Arial" w:hAnsi="Arial"/>
          <w:sz w:val="20"/>
          <w:lang w:val="en-GB"/>
        </w:rPr>
      </w:pPr>
    </w:p>
    <w:p w:rsidR="00A3237A" w:rsidRPr="00A4198B" w:rsidRDefault="00A4198B" w:rsidP="008E3EA9">
      <w:pPr>
        <w:jc w:val="both"/>
        <w:rPr>
          <w:rFonts w:ascii="Arial" w:hAnsi="Arial"/>
          <w:sz w:val="20"/>
          <w:u w:val="single"/>
          <w:lang w:val="en-GB"/>
        </w:rPr>
      </w:pPr>
      <w:r w:rsidRPr="00A4198B">
        <w:rPr>
          <w:rFonts w:ascii="Arial" w:hAnsi="Arial"/>
          <w:sz w:val="20"/>
          <w:u w:val="single"/>
          <w:lang w:val="en-GB"/>
        </w:rPr>
        <w:t xml:space="preserve">Provide victims with </w:t>
      </w:r>
      <w:r w:rsidR="005C759F">
        <w:rPr>
          <w:rFonts w:ascii="Arial" w:hAnsi="Arial"/>
          <w:sz w:val="20"/>
          <w:u w:val="single"/>
          <w:lang w:val="en-GB"/>
        </w:rPr>
        <w:t>redress</w:t>
      </w:r>
    </w:p>
    <w:p w:rsidR="00B67EBB" w:rsidRDefault="00D03590" w:rsidP="00A4198B">
      <w:pPr>
        <w:jc w:val="both"/>
        <w:rPr>
          <w:rFonts w:ascii="Arial" w:hAnsi="Arial"/>
          <w:sz w:val="20"/>
        </w:rPr>
      </w:pPr>
      <w:r>
        <w:rPr>
          <w:rFonts w:ascii="Arial" w:hAnsi="Arial"/>
          <w:sz w:val="20"/>
        </w:rPr>
        <w:t xml:space="preserve">Fair and adequate compensation and rehabilitation for damages caused by torture are important elements of providing </w:t>
      </w:r>
      <w:r w:rsidR="00B67EBB">
        <w:rPr>
          <w:rFonts w:ascii="Arial" w:hAnsi="Arial"/>
          <w:sz w:val="20"/>
        </w:rPr>
        <w:t xml:space="preserve">comprehensive reparation </w:t>
      </w:r>
      <w:r>
        <w:rPr>
          <w:rFonts w:ascii="Arial" w:hAnsi="Arial"/>
          <w:sz w:val="20"/>
        </w:rPr>
        <w:t xml:space="preserve">to torture victims. </w:t>
      </w:r>
      <w:r w:rsidR="006536E6">
        <w:rPr>
          <w:rFonts w:ascii="Arial" w:hAnsi="Arial"/>
          <w:sz w:val="20"/>
        </w:rPr>
        <w:t>We are</w:t>
      </w:r>
      <w:r w:rsidR="00590AB6">
        <w:rPr>
          <w:rFonts w:ascii="Arial" w:hAnsi="Arial"/>
          <w:sz w:val="20"/>
        </w:rPr>
        <w:t xml:space="preserve"> aware of </w:t>
      </w:r>
      <w:r w:rsidR="003B5731">
        <w:rPr>
          <w:rFonts w:ascii="Arial" w:hAnsi="Arial"/>
          <w:sz w:val="20"/>
        </w:rPr>
        <w:t>only</w:t>
      </w:r>
      <w:r w:rsidR="00A92117">
        <w:rPr>
          <w:rFonts w:ascii="Arial" w:hAnsi="Arial"/>
          <w:sz w:val="20"/>
        </w:rPr>
        <w:t xml:space="preserve"> </w:t>
      </w:r>
      <w:r w:rsidR="00E5590D">
        <w:rPr>
          <w:rFonts w:ascii="Arial" w:hAnsi="Arial"/>
          <w:sz w:val="20"/>
        </w:rPr>
        <w:t xml:space="preserve">two </w:t>
      </w:r>
      <w:r w:rsidR="00036F00">
        <w:rPr>
          <w:rFonts w:ascii="Arial" w:hAnsi="Arial"/>
          <w:sz w:val="20"/>
        </w:rPr>
        <w:t>incident</w:t>
      </w:r>
      <w:r w:rsidR="00E5590D">
        <w:rPr>
          <w:rFonts w:ascii="Arial" w:hAnsi="Arial"/>
          <w:sz w:val="20"/>
        </w:rPr>
        <w:t>s</w:t>
      </w:r>
      <w:r w:rsidR="000F7404">
        <w:rPr>
          <w:rFonts w:ascii="Arial" w:hAnsi="Arial"/>
          <w:sz w:val="20"/>
        </w:rPr>
        <w:t xml:space="preserve"> where compensation h</w:t>
      </w:r>
      <w:r w:rsidR="00590AB6">
        <w:rPr>
          <w:rFonts w:ascii="Arial" w:hAnsi="Arial"/>
          <w:sz w:val="20"/>
        </w:rPr>
        <w:t>as</w:t>
      </w:r>
      <w:r w:rsidR="000F7404">
        <w:rPr>
          <w:rFonts w:ascii="Arial" w:hAnsi="Arial"/>
          <w:sz w:val="20"/>
        </w:rPr>
        <w:t xml:space="preserve"> been</w:t>
      </w:r>
      <w:r w:rsidR="00590AB6">
        <w:rPr>
          <w:rFonts w:ascii="Arial" w:hAnsi="Arial"/>
          <w:sz w:val="20"/>
        </w:rPr>
        <w:t xml:space="preserve"> granted</w:t>
      </w:r>
      <w:r w:rsidR="009C5D05">
        <w:rPr>
          <w:rFonts w:ascii="Arial" w:hAnsi="Arial"/>
          <w:sz w:val="20"/>
        </w:rPr>
        <w:t xml:space="preserve"> </w:t>
      </w:r>
      <w:r w:rsidR="00036F00">
        <w:rPr>
          <w:rFonts w:ascii="Arial" w:hAnsi="Arial"/>
          <w:sz w:val="20"/>
        </w:rPr>
        <w:t>by the courts in two separate torture cases</w:t>
      </w:r>
      <w:r w:rsidR="000F6692">
        <w:rPr>
          <w:rFonts w:ascii="Arial" w:hAnsi="Arial"/>
          <w:sz w:val="20"/>
        </w:rPr>
        <w:t>.</w:t>
      </w:r>
      <w:r w:rsidR="007055B9">
        <w:rPr>
          <w:rFonts w:ascii="Arial" w:hAnsi="Arial"/>
          <w:sz w:val="20"/>
        </w:rPr>
        <w:t xml:space="preserve"> </w:t>
      </w:r>
      <w:r w:rsidR="00BE3622">
        <w:rPr>
          <w:rFonts w:ascii="Arial" w:hAnsi="Arial"/>
          <w:sz w:val="20"/>
        </w:rPr>
        <w:t xml:space="preserve">But to our knowledge, other forms of reparation such as measures of satisfaction and guarantees of non-repetition have not been </w:t>
      </w:r>
      <w:r w:rsidR="007A4758">
        <w:rPr>
          <w:rFonts w:ascii="Arial" w:hAnsi="Arial"/>
          <w:sz w:val="20"/>
        </w:rPr>
        <w:t>made available</w:t>
      </w:r>
      <w:r w:rsidR="00BE3622">
        <w:rPr>
          <w:rFonts w:ascii="Arial" w:hAnsi="Arial"/>
          <w:sz w:val="20"/>
        </w:rPr>
        <w:t xml:space="preserve"> to torture victims in Tajikistan and legislation does not provide for such measures</w:t>
      </w:r>
      <w:r w:rsidR="00B67EBB">
        <w:rPr>
          <w:rFonts w:ascii="Arial" w:hAnsi="Arial"/>
          <w:sz w:val="20"/>
          <w:lang w:val="en-GB"/>
        </w:rPr>
        <w:t>.</w:t>
      </w:r>
    </w:p>
    <w:p w:rsidR="00B67EBB" w:rsidRDefault="00B67EBB" w:rsidP="00A4198B">
      <w:pPr>
        <w:jc w:val="both"/>
        <w:rPr>
          <w:rFonts w:ascii="Arial" w:hAnsi="Arial"/>
          <w:sz w:val="20"/>
        </w:rPr>
      </w:pPr>
    </w:p>
    <w:p w:rsidR="00DC7AA8" w:rsidRDefault="007055B9" w:rsidP="00A4198B">
      <w:pPr>
        <w:jc w:val="both"/>
        <w:rPr>
          <w:rFonts w:ascii="Arial" w:hAnsi="Arial"/>
          <w:sz w:val="20"/>
        </w:rPr>
      </w:pPr>
      <w:r>
        <w:rPr>
          <w:rFonts w:ascii="Arial" w:hAnsi="Arial"/>
          <w:sz w:val="20"/>
        </w:rPr>
        <w:t xml:space="preserve">Domestic legislation limits the payment of compensation to torture victims to those cases where perpetrators have been brought to justice. As long as investigations are </w:t>
      </w:r>
      <w:r w:rsidR="00895B41">
        <w:rPr>
          <w:rFonts w:ascii="Arial" w:hAnsi="Arial"/>
          <w:sz w:val="20"/>
        </w:rPr>
        <w:t xml:space="preserve">not conducted promptly, thoroughly, impartially and independently, </w:t>
      </w:r>
      <w:r w:rsidR="00586724">
        <w:rPr>
          <w:rFonts w:ascii="Arial" w:hAnsi="Arial"/>
          <w:sz w:val="20"/>
        </w:rPr>
        <w:t xml:space="preserve">torture victims must not be put at a disadvantage when investigators </w:t>
      </w:r>
      <w:r w:rsidR="000F7404">
        <w:rPr>
          <w:rFonts w:ascii="Arial" w:hAnsi="Arial"/>
          <w:sz w:val="20"/>
        </w:rPr>
        <w:t>fail to establish the identity of the perpetrator</w:t>
      </w:r>
      <w:r w:rsidR="007069CD">
        <w:rPr>
          <w:rFonts w:ascii="Arial" w:hAnsi="Arial"/>
          <w:sz w:val="20"/>
        </w:rPr>
        <w:t>/</w:t>
      </w:r>
      <w:r w:rsidR="000F7404">
        <w:rPr>
          <w:rFonts w:ascii="Arial" w:hAnsi="Arial"/>
          <w:sz w:val="20"/>
        </w:rPr>
        <w:t xml:space="preserve">s. </w:t>
      </w:r>
      <w:r w:rsidR="007E3214" w:rsidRPr="007E3214">
        <w:rPr>
          <w:rFonts w:ascii="Arial" w:hAnsi="Arial"/>
          <w:sz w:val="20"/>
          <w:lang w:val="en-GB"/>
        </w:rPr>
        <w:t>The</w:t>
      </w:r>
      <w:r w:rsidR="007E3214">
        <w:rPr>
          <w:rFonts w:ascii="Arial" w:hAnsi="Arial"/>
          <w:sz w:val="20"/>
          <w:lang w:val="en-GB"/>
        </w:rPr>
        <w:t xml:space="preserve"> Committee against Torture recommended Tajikistan to “</w:t>
      </w:r>
      <w:r w:rsidR="007E3214" w:rsidRPr="007E3214">
        <w:rPr>
          <w:rFonts w:ascii="Arial" w:hAnsi="Arial"/>
          <w:sz w:val="20"/>
          <w:lang w:val="en-GB"/>
        </w:rPr>
        <w:t>ensure that there are clear provisions in the domestic legislation on the right of torture victims to redress, including fair and adequate compensation and rehabilitation for damages caused by torture. It should, in practice, provide all victims of torture</w:t>
      </w:r>
      <w:r w:rsidR="007E3214">
        <w:rPr>
          <w:rFonts w:ascii="Arial" w:hAnsi="Arial"/>
          <w:sz w:val="20"/>
          <w:lang w:val="en-GB"/>
        </w:rPr>
        <w:t xml:space="preserve"> or ill-treatment with redress (…) </w:t>
      </w:r>
      <w:r w:rsidR="007E3214" w:rsidRPr="007E3214">
        <w:rPr>
          <w:rFonts w:ascii="Arial" w:hAnsi="Arial"/>
          <w:sz w:val="20"/>
          <w:lang w:val="en-GB"/>
        </w:rPr>
        <w:t>and as full rehabilitation as possible regardless of whether perpetrators of such acts have been brought to justice</w:t>
      </w:r>
      <w:r w:rsidR="007E3214">
        <w:rPr>
          <w:rFonts w:ascii="Arial" w:hAnsi="Arial"/>
          <w:sz w:val="20"/>
          <w:lang w:val="en-GB"/>
        </w:rPr>
        <w:t>” (Recommendation 21).</w:t>
      </w:r>
    </w:p>
    <w:p w:rsidR="00DC7AA8" w:rsidRPr="00DC7AA8" w:rsidRDefault="00724D6B" w:rsidP="0040506F">
      <w:pPr>
        <w:pStyle w:val="1"/>
      </w:pPr>
      <w:bookmarkStart w:id="4" w:name="_Toc285095805"/>
      <w:r>
        <w:t>TORTURE</w:t>
      </w:r>
      <w:r w:rsidR="00F81698">
        <w:t xml:space="preserve"> AND OTHER</w:t>
      </w:r>
      <w:r>
        <w:t xml:space="preserve"> ILL-TREATMENT </w:t>
      </w:r>
      <w:r w:rsidR="00DC7AA8" w:rsidRPr="00DC7AA8">
        <w:t xml:space="preserve">IN THE </w:t>
      </w:r>
      <w:r w:rsidR="003B5731">
        <w:t>ARMED FORCES</w:t>
      </w:r>
      <w:bookmarkEnd w:id="4"/>
    </w:p>
    <w:p w:rsidR="0040506F" w:rsidRDefault="0040506F" w:rsidP="00697BED">
      <w:pPr>
        <w:jc w:val="both"/>
        <w:rPr>
          <w:rFonts w:ascii="Arial" w:hAnsi="Arial"/>
          <w:sz w:val="20"/>
        </w:rPr>
      </w:pPr>
    </w:p>
    <w:p w:rsidR="005E2A87" w:rsidRDefault="00724D6B" w:rsidP="00697BED">
      <w:pPr>
        <w:jc w:val="both"/>
        <w:rPr>
          <w:rFonts w:ascii="Arial" w:hAnsi="Arial"/>
          <w:sz w:val="20"/>
        </w:rPr>
      </w:pPr>
      <w:r>
        <w:rPr>
          <w:rFonts w:ascii="Arial" w:hAnsi="Arial"/>
          <w:sz w:val="20"/>
          <w:lang w:val="en-GB"/>
        </w:rPr>
        <w:t>There are reports of arbitrary detentions committed during the mandatory two-month period of conscription, on which members of the armed forces</w:t>
      </w:r>
      <w:r>
        <w:rPr>
          <w:rStyle w:val="a9"/>
        </w:rPr>
        <w:t xml:space="preserve"> </w:t>
      </w:r>
      <w:r>
        <w:rPr>
          <w:rFonts w:ascii="Arial" w:hAnsi="Arial"/>
          <w:sz w:val="20"/>
          <w:lang w:val="en-GB"/>
        </w:rPr>
        <w:t xml:space="preserve">have detained </w:t>
      </w:r>
      <w:r w:rsidR="000F5F04">
        <w:rPr>
          <w:rFonts w:ascii="Arial" w:hAnsi="Arial"/>
          <w:sz w:val="20"/>
        </w:rPr>
        <w:t xml:space="preserve">young men on the street, at their work place or place of study, or </w:t>
      </w:r>
      <w:r w:rsidR="00697BED">
        <w:rPr>
          <w:rFonts w:ascii="Arial" w:hAnsi="Arial"/>
          <w:sz w:val="20"/>
        </w:rPr>
        <w:t>after forcing</w:t>
      </w:r>
      <w:r w:rsidR="00CA321E">
        <w:rPr>
          <w:rFonts w:ascii="Arial" w:hAnsi="Arial"/>
          <w:sz w:val="20"/>
        </w:rPr>
        <w:t xml:space="preserve"> their way into </w:t>
      </w:r>
      <w:r w:rsidR="000F5F04">
        <w:rPr>
          <w:rFonts w:ascii="Arial" w:hAnsi="Arial"/>
          <w:sz w:val="20"/>
        </w:rPr>
        <w:t>the</w:t>
      </w:r>
      <w:r w:rsidR="00C0198C">
        <w:rPr>
          <w:rFonts w:ascii="Arial" w:hAnsi="Arial"/>
          <w:sz w:val="20"/>
        </w:rPr>
        <w:t xml:space="preserve"> young men’s</w:t>
      </w:r>
      <w:r w:rsidR="000F5F04">
        <w:rPr>
          <w:rFonts w:ascii="Arial" w:hAnsi="Arial"/>
          <w:sz w:val="20"/>
        </w:rPr>
        <w:t xml:space="preserve"> homes. </w:t>
      </w:r>
      <w:r w:rsidR="0012745F">
        <w:rPr>
          <w:rFonts w:ascii="Arial" w:hAnsi="Arial"/>
          <w:sz w:val="20"/>
        </w:rPr>
        <w:t>In 2014, human rights groups learnt of three cases where young men were subjected to ill-treatment in the context of conscription and two cases where parents of conscripts were subjected to abuse.</w:t>
      </w:r>
    </w:p>
    <w:p w:rsidR="00992AF6" w:rsidRDefault="00992AF6" w:rsidP="002A5937">
      <w:pPr>
        <w:jc w:val="both"/>
        <w:rPr>
          <w:rFonts w:ascii="Arial" w:hAnsi="Arial"/>
          <w:sz w:val="20"/>
        </w:rPr>
      </w:pPr>
    </w:p>
    <w:p w:rsidR="009647D8" w:rsidRDefault="009E53CF" w:rsidP="00657A02">
      <w:pPr>
        <w:jc w:val="both"/>
        <w:rPr>
          <w:rFonts w:ascii="Arial" w:hAnsi="Arial"/>
          <w:sz w:val="20"/>
        </w:rPr>
      </w:pPr>
      <w:r>
        <w:rPr>
          <w:rFonts w:ascii="Arial" w:hAnsi="Arial"/>
          <w:sz w:val="20"/>
        </w:rPr>
        <w:t>Local human rights groups believe that h</w:t>
      </w:r>
      <w:r w:rsidR="00490FBF" w:rsidRPr="00E96C42">
        <w:rPr>
          <w:rFonts w:ascii="Arial" w:hAnsi="Arial"/>
          <w:sz w:val="20"/>
        </w:rPr>
        <w:t>azing</w:t>
      </w:r>
      <w:r w:rsidR="00BB49D9">
        <w:rPr>
          <w:rFonts w:ascii="Arial" w:hAnsi="Arial"/>
          <w:sz w:val="20"/>
        </w:rPr>
        <w:t xml:space="preserve"> of </w:t>
      </w:r>
      <w:r w:rsidR="00750AC2">
        <w:rPr>
          <w:rFonts w:ascii="Arial" w:hAnsi="Arial"/>
          <w:sz w:val="20"/>
        </w:rPr>
        <w:t>new recruits</w:t>
      </w:r>
      <w:r w:rsidR="00BB49D9">
        <w:rPr>
          <w:rFonts w:ascii="Arial" w:hAnsi="Arial"/>
          <w:sz w:val="20"/>
        </w:rPr>
        <w:t xml:space="preserve"> </w:t>
      </w:r>
      <w:r w:rsidR="00ED1DF5">
        <w:rPr>
          <w:rFonts w:ascii="Arial" w:hAnsi="Arial"/>
          <w:sz w:val="20"/>
        </w:rPr>
        <w:t>by</w:t>
      </w:r>
      <w:r w:rsidR="00BB49D9">
        <w:rPr>
          <w:rFonts w:ascii="Arial" w:hAnsi="Arial"/>
          <w:sz w:val="20"/>
        </w:rPr>
        <w:t xml:space="preserve"> fellow soldiers</w:t>
      </w:r>
      <w:r w:rsidR="00ED1DF5">
        <w:rPr>
          <w:rFonts w:ascii="Arial" w:hAnsi="Arial"/>
          <w:sz w:val="20"/>
        </w:rPr>
        <w:t xml:space="preserve"> </w:t>
      </w:r>
      <w:r w:rsidR="00490FBF" w:rsidRPr="00E96C42">
        <w:rPr>
          <w:rFonts w:ascii="Arial" w:hAnsi="Arial"/>
          <w:sz w:val="20"/>
        </w:rPr>
        <w:t xml:space="preserve">is </w:t>
      </w:r>
      <w:r w:rsidR="00BB49D9">
        <w:rPr>
          <w:rFonts w:ascii="Arial" w:hAnsi="Arial"/>
          <w:sz w:val="20"/>
        </w:rPr>
        <w:t>routine</w:t>
      </w:r>
      <w:r w:rsidR="00490FBF" w:rsidRPr="00E96C42">
        <w:rPr>
          <w:rFonts w:ascii="Arial" w:hAnsi="Arial"/>
          <w:sz w:val="20"/>
        </w:rPr>
        <w:t xml:space="preserve"> in the </w:t>
      </w:r>
      <w:r w:rsidR="00490FBF">
        <w:rPr>
          <w:rFonts w:ascii="Arial" w:hAnsi="Arial"/>
          <w:sz w:val="20"/>
        </w:rPr>
        <w:t>army</w:t>
      </w:r>
      <w:r w:rsidR="003C6C4B">
        <w:rPr>
          <w:rFonts w:ascii="Arial" w:hAnsi="Arial"/>
          <w:sz w:val="20"/>
        </w:rPr>
        <w:t xml:space="preserve"> of Tajikistan</w:t>
      </w:r>
      <w:r w:rsidR="00D639A6">
        <w:rPr>
          <w:rFonts w:ascii="Arial" w:hAnsi="Arial"/>
          <w:sz w:val="20"/>
        </w:rPr>
        <w:t xml:space="preserve">, although it is prohibited in </w:t>
      </w:r>
      <w:r w:rsidR="008F7FB4">
        <w:rPr>
          <w:rFonts w:ascii="Arial" w:hAnsi="Arial"/>
          <w:sz w:val="20"/>
        </w:rPr>
        <w:t xml:space="preserve">domestic </w:t>
      </w:r>
      <w:r w:rsidR="00D639A6">
        <w:rPr>
          <w:rFonts w:ascii="Arial" w:hAnsi="Arial"/>
          <w:sz w:val="20"/>
        </w:rPr>
        <w:t>legislation</w:t>
      </w:r>
      <w:r w:rsidR="00BB49D9">
        <w:rPr>
          <w:rFonts w:ascii="Arial" w:hAnsi="Arial"/>
          <w:sz w:val="20"/>
        </w:rPr>
        <w:t xml:space="preserve">. </w:t>
      </w:r>
      <w:r w:rsidR="00ED1DF5">
        <w:rPr>
          <w:rFonts w:ascii="Arial" w:hAnsi="Arial"/>
          <w:sz w:val="20"/>
        </w:rPr>
        <w:t xml:space="preserve">In some cases officers </w:t>
      </w:r>
      <w:r w:rsidR="00FE4C3F">
        <w:rPr>
          <w:rFonts w:ascii="Arial" w:hAnsi="Arial"/>
          <w:sz w:val="20"/>
        </w:rPr>
        <w:t>also engage</w:t>
      </w:r>
      <w:r w:rsidR="00ED1DF5">
        <w:rPr>
          <w:rFonts w:ascii="Arial" w:hAnsi="Arial"/>
          <w:sz w:val="20"/>
        </w:rPr>
        <w:t xml:space="preserve"> in abus</w:t>
      </w:r>
      <w:r w:rsidR="00750AC2">
        <w:rPr>
          <w:rFonts w:ascii="Arial" w:hAnsi="Arial"/>
          <w:sz w:val="20"/>
        </w:rPr>
        <w:t>ing young soldiers</w:t>
      </w:r>
      <w:r w:rsidR="00ED1DF5">
        <w:rPr>
          <w:rFonts w:ascii="Arial" w:hAnsi="Arial"/>
          <w:sz w:val="20"/>
        </w:rPr>
        <w:t xml:space="preserve">. </w:t>
      </w:r>
      <w:r w:rsidR="002711B9">
        <w:rPr>
          <w:rFonts w:ascii="Arial" w:hAnsi="Arial"/>
          <w:sz w:val="20"/>
        </w:rPr>
        <w:t>Recruits</w:t>
      </w:r>
      <w:r w:rsidR="00750AC2">
        <w:rPr>
          <w:rFonts w:ascii="Arial" w:hAnsi="Arial"/>
          <w:sz w:val="20"/>
        </w:rPr>
        <w:t xml:space="preserve"> serving their first year in the army</w:t>
      </w:r>
      <w:r w:rsidR="00A317FF" w:rsidRPr="00BA08B2">
        <w:rPr>
          <w:rFonts w:ascii="Arial" w:hAnsi="Arial"/>
          <w:sz w:val="20"/>
        </w:rPr>
        <w:t xml:space="preserve"> </w:t>
      </w:r>
      <w:r w:rsidR="002711B9">
        <w:rPr>
          <w:rFonts w:ascii="Arial" w:hAnsi="Arial"/>
          <w:sz w:val="20"/>
        </w:rPr>
        <w:t xml:space="preserve">are often used </w:t>
      </w:r>
      <w:r w:rsidR="00A317FF" w:rsidRPr="00BA08B2">
        <w:rPr>
          <w:rFonts w:ascii="Arial" w:hAnsi="Arial"/>
          <w:sz w:val="20"/>
        </w:rPr>
        <w:t>as personal assistants</w:t>
      </w:r>
      <w:r w:rsidR="004F0F35">
        <w:rPr>
          <w:rFonts w:ascii="Arial" w:hAnsi="Arial"/>
          <w:sz w:val="20"/>
        </w:rPr>
        <w:t xml:space="preserve"> by fellow soldiers</w:t>
      </w:r>
      <w:r w:rsidR="00A317FF" w:rsidRPr="00BA08B2">
        <w:rPr>
          <w:rFonts w:ascii="Arial" w:hAnsi="Arial"/>
          <w:sz w:val="20"/>
        </w:rPr>
        <w:t>, force</w:t>
      </w:r>
      <w:r w:rsidR="004F0F35">
        <w:rPr>
          <w:rFonts w:ascii="Arial" w:hAnsi="Arial"/>
          <w:sz w:val="20"/>
        </w:rPr>
        <w:t>d</w:t>
      </w:r>
      <w:r w:rsidR="00A317FF" w:rsidRPr="00BA08B2">
        <w:rPr>
          <w:rFonts w:ascii="Arial" w:hAnsi="Arial"/>
          <w:sz w:val="20"/>
        </w:rPr>
        <w:t xml:space="preserve"> to engage in initiation rites </w:t>
      </w:r>
      <w:r w:rsidR="00A92117">
        <w:rPr>
          <w:rFonts w:ascii="Arial" w:hAnsi="Arial"/>
          <w:sz w:val="20"/>
        </w:rPr>
        <w:t>“</w:t>
      </w:r>
      <w:r w:rsidR="00A317FF" w:rsidRPr="00BA08B2">
        <w:rPr>
          <w:rFonts w:ascii="Arial" w:hAnsi="Arial"/>
          <w:sz w:val="20"/>
        </w:rPr>
        <w:t>to become a fighter</w:t>
      </w:r>
      <w:r w:rsidR="00A92117">
        <w:rPr>
          <w:rFonts w:ascii="Arial" w:hAnsi="Arial"/>
          <w:sz w:val="20"/>
        </w:rPr>
        <w:t>”</w:t>
      </w:r>
      <w:r w:rsidR="004F0F35">
        <w:rPr>
          <w:rFonts w:ascii="Arial" w:hAnsi="Arial"/>
          <w:sz w:val="20"/>
        </w:rPr>
        <w:t xml:space="preserve">, </w:t>
      </w:r>
      <w:r w:rsidR="00A317FF" w:rsidRPr="00BA08B2">
        <w:rPr>
          <w:rFonts w:ascii="Arial" w:hAnsi="Arial"/>
          <w:sz w:val="20"/>
        </w:rPr>
        <w:t>deprive</w:t>
      </w:r>
      <w:r w:rsidR="004F0F35">
        <w:rPr>
          <w:rFonts w:ascii="Arial" w:hAnsi="Arial"/>
          <w:sz w:val="20"/>
        </w:rPr>
        <w:t>d</w:t>
      </w:r>
      <w:r w:rsidR="00A317FF" w:rsidRPr="00BA08B2">
        <w:rPr>
          <w:rFonts w:ascii="Arial" w:hAnsi="Arial"/>
          <w:sz w:val="20"/>
        </w:rPr>
        <w:t xml:space="preserve"> of food and clothes, humiliate</w:t>
      </w:r>
      <w:r w:rsidR="004F0F35">
        <w:rPr>
          <w:rFonts w:ascii="Arial" w:hAnsi="Arial"/>
          <w:sz w:val="20"/>
        </w:rPr>
        <w:t>d</w:t>
      </w:r>
      <w:r w:rsidR="00A317FF" w:rsidRPr="00BA08B2">
        <w:rPr>
          <w:rFonts w:ascii="Arial" w:hAnsi="Arial"/>
          <w:sz w:val="20"/>
        </w:rPr>
        <w:t>, and subject</w:t>
      </w:r>
      <w:r w:rsidR="004F0F35">
        <w:rPr>
          <w:rFonts w:ascii="Arial" w:hAnsi="Arial"/>
          <w:sz w:val="20"/>
        </w:rPr>
        <w:t>ed</w:t>
      </w:r>
      <w:r w:rsidR="00A317FF" w:rsidRPr="00BA08B2">
        <w:rPr>
          <w:rFonts w:ascii="Arial" w:hAnsi="Arial"/>
          <w:sz w:val="20"/>
        </w:rPr>
        <w:t xml:space="preserve"> to beatings.</w:t>
      </w:r>
      <w:r w:rsidR="00A317FF">
        <w:rPr>
          <w:rFonts w:ascii="Arial" w:hAnsi="Arial"/>
          <w:sz w:val="20"/>
        </w:rPr>
        <w:t xml:space="preserve"> </w:t>
      </w:r>
      <w:r w:rsidR="007C3752">
        <w:rPr>
          <w:rFonts w:ascii="Arial" w:hAnsi="Arial"/>
          <w:sz w:val="20"/>
        </w:rPr>
        <w:t xml:space="preserve">For example, during their first days at the military unit, longer serving soldiers often </w:t>
      </w:r>
      <w:r w:rsidR="007A2137">
        <w:rPr>
          <w:rFonts w:ascii="Arial" w:hAnsi="Arial"/>
          <w:sz w:val="20"/>
        </w:rPr>
        <w:t xml:space="preserve">subject young recruits to an initiation rite called “General’s title” whereby they hit young </w:t>
      </w:r>
      <w:r w:rsidR="007C3752">
        <w:rPr>
          <w:rFonts w:ascii="Arial" w:hAnsi="Arial"/>
          <w:sz w:val="20"/>
        </w:rPr>
        <w:t xml:space="preserve">recruits on their naked shoulder with the metal part of </w:t>
      </w:r>
      <w:r w:rsidR="00036F00">
        <w:rPr>
          <w:rFonts w:ascii="Arial" w:hAnsi="Arial"/>
          <w:sz w:val="20"/>
        </w:rPr>
        <w:t>a</w:t>
      </w:r>
      <w:r w:rsidR="007C3752">
        <w:rPr>
          <w:rFonts w:ascii="Arial" w:hAnsi="Arial"/>
          <w:sz w:val="20"/>
        </w:rPr>
        <w:t xml:space="preserve"> belt. The injuries are called </w:t>
      </w:r>
      <w:r w:rsidR="007A2137">
        <w:rPr>
          <w:rFonts w:ascii="Arial" w:hAnsi="Arial"/>
          <w:sz w:val="20"/>
        </w:rPr>
        <w:t>“shoulder straps”.</w:t>
      </w:r>
      <w:r w:rsidR="00EF6816">
        <w:rPr>
          <w:rFonts w:ascii="Arial" w:hAnsi="Arial"/>
          <w:sz w:val="20"/>
        </w:rPr>
        <w:t xml:space="preserve"> </w:t>
      </w:r>
      <w:r w:rsidR="00BB49D9">
        <w:rPr>
          <w:rFonts w:ascii="Arial" w:hAnsi="Arial" w:cs="Helvetica"/>
          <w:bCs/>
          <w:sz w:val="20"/>
          <w:lang w:val="de-DE"/>
        </w:rPr>
        <w:t xml:space="preserve">Reportedly, </w:t>
      </w:r>
      <w:r w:rsidR="00EF6816">
        <w:rPr>
          <w:rFonts w:ascii="Arial" w:hAnsi="Arial" w:cs="Helvetica"/>
          <w:bCs/>
          <w:sz w:val="20"/>
          <w:lang w:val="de-DE"/>
        </w:rPr>
        <w:t>this and similar</w:t>
      </w:r>
      <w:r w:rsidR="00A317FF">
        <w:rPr>
          <w:rFonts w:ascii="Arial" w:hAnsi="Arial" w:cs="Helvetica"/>
          <w:bCs/>
          <w:sz w:val="20"/>
          <w:lang w:val="de-DE"/>
        </w:rPr>
        <w:t xml:space="preserve"> abuse</w:t>
      </w:r>
      <w:r w:rsidR="00BB49D9">
        <w:rPr>
          <w:rFonts w:ascii="Arial" w:hAnsi="Arial" w:cs="Helvetica"/>
          <w:bCs/>
          <w:sz w:val="20"/>
          <w:lang w:val="de-DE"/>
        </w:rPr>
        <w:t xml:space="preserve"> </w:t>
      </w:r>
      <w:r w:rsidR="001B23B8">
        <w:rPr>
          <w:rFonts w:ascii="Arial" w:hAnsi="Arial" w:cs="Helvetica"/>
          <w:bCs/>
          <w:sz w:val="20"/>
          <w:lang w:val="de-DE"/>
        </w:rPr>
        <w:t>frequently</w:t>
      </w:r>
      <w:r w:rsidR="00BB49D9">
        <w:rPr>
          <w:rFonts w:ascii="Arial" w:hAnsi="Arial" w:cs="Helvetica"/>
          <w:bCs/>
          <w:sz w:val="20"/>
          <w:lang w:val="de-DE"/>
        </w:rPr>
        <w:t xml:space="preserve"> takes place </w:t>
      </w:r>
      <w:r w:rsidR="00BB49D9" w:rsidRPr="00075305">
        <w:rPr>
          <w:rFonts w:ascii="Arial" w:hAnsi="Arial" w:cs="Helvetica"/>
          <w:sz w:val="20"/>
          <w:lang w:val="en-GB"/>
        </w:rPr>
        <w:t xml:space="preserve">with the consent, acquiescence or approval of officers or other </w:t>
      </w:r>
      <w:r w:rsidR="00BB49D9">
        <w:rPr>
          <w:rFonts w:ascii="Arial" w:hAnsi="Arial" w:cs="Helvetica"/>
          <w:sz w:val="20"/>
          <w:lang w:val="en-GB"/>
        </w:rPr>
        <w:t xml:space="preserve">military </w:t>
      </w:r>
      <w:r w:rsidR="00BB49D9" w:rsidRPr="00075305">
        <w:rPr>
          <w:rFonts w:ascii="Arial" w:hAnsi="Arial" w:cs="Helvetica"/>
          <w:sz w:val="20"/>
          <w:lang w:val="en-GB"/>
        </w:rPr>
        <w:t>personnel</w:t>
      </w:r>
      <w:r w:rsidR="00BB49D9">
        <w:rPr>
          <w:rFonts w:ascii="Arial" w:hAnsi="Arial" w:cs="Helvetica"/>
          <w:sz w:val="20"/>
          <w:lang w:val="en-GB"/>
        </w:rPr>
        <w:t xml:space="preserve">. </w:t>
      </w:r>
      <w:r w:rsidR="00A317FF">
        <w:rPr>
          <w:rFonts w:ascii="Arial" w:hAnsi="Arial" w:cs="Helvetica"/>
          <w:sz w:val="20"/>
          <w:lang w:val="en-GB"/>
        </w:rPr>
        <w:t>Often s</w:t>
      </w:r>
      <w:r w:rsidR="00ED2185" w:rsidRPr="00E96C42">
        <w:rPr>
          <w:rFonts w:ascii="Arial" w:hAnsi="Arial"/>
          <w:sz w:val="20"/>
        </w:rPr>
        <w:t xml:space="preserve">enior military personnel </w:t>
      </w:r>
      <w:r w:rsidR="00D74D43">
        <w:rPr>
          <w:rFonts w:ascii="Arial" w:hAnsi="Arial"/>
          <w:sz w:val="20"/>
        </w:rPr>
        <w:t xml:space="preserve">reportedly </w:t>
      </w:r>
      <w:r w:rsidR="00ED2185" w:rsidRPr="00E96C42">
        <w:rPr>
          <w:rFonts w:ascii="Arial" w:hAnsi="Arial"/>
          <w:sz w:val="20"/>
        </w:rPr>
        <w:t>justify</w:t>
      </w:r>
      <w:r w:rsidR="00ED2185" w:rsidRPr="00BA08B2">
        <w:rPr>
          <w:rFonts w:ascii="Arial" w:hAnsi="Arial"/>
          <w:sz w:val="20"/>
        </w:rPr>
        <w:t xml:space="preserve"> </w:t>
      </w:r>
      <w:r w:rsidR="00A317FF">
        <w:rPr>
          <w:rFonts w:ascii="Arial" w:hAnsi="Arial"/>
          <w:sz w:val="20"/>
        </w:rPr>
        <w:t>such behaviou</w:t>
      </w:r>
      <w:r w:rsidR="00D443A2">
        <w:rPr>
          <w:rFonts w:ascii="Arial" w:hAnsi="Arial"/>
          <w:sz w:val="20"/>
        </w:rPr>
        <w:t>r</w:t>
      </w:r>
      <w:r w:rsidR="00ED2185" w:rsidRPr="00BA08B2">
        <w:rPr>
          <w:rFonts w:ascii="Arial" w:hAnsi="Arial"/>
          <w:sz w:val="20"/>
        </w:rPr>
        <w:t xml:space="preserve"> </w:t>
      </w:r>
      <w:r w:rsidR="009647D8">
        <w:rPr>
          <w:rFonts w:ascii="Arial" w:hAnsi="Arial"/>
          <w:sz w:val="20"/>
        </w:rPr>
        <w:t>with</w:t>
      </w:r>
      <w:r w:rsidR="00ED2185" w:rsidRPr="00BA08B2">
        <w:rPr>
          <w:rFonts w:ascii="Arial" w:hAnsi="Arial"/>
          <w:sz w:val="20"/>
        </w:rPr>
        <w:t xml:space="preserve"> a perceived necessity to teach the new recruits discipline. </w:t>
      </w:r>
      <w:r w:rsidR="002A5937" w:rsidRPr="00BA08B2">
        <w:rPr>
          <w:rFonts w:ascii="Arial" w:hAnsi="Arial"/>
          <w:sz w:val="20"/>
        </w:rPr>
        <w:t xml:space="preserve">Since the beginning of </w:t>
      </w:r>
      <w:r w:rsidR="002A5937">
        <w:rPr>
          <w:rFonts w:ascii="Arial" w:hAnsi="Arial"/>
          <w:sz w:val="20"/>
        </w:rPr>
        <w:t>2014</w:t>
      </w:r>
      <w:r w:rsidR="00EE435B">
        <w:rPr>
          <w:rFonts w:ascii="Arial" w:hAnsi="Arial"/>
          <w:sz w:val="20"/>
        </w:rPr>
        <w:t>,</w:t>
      </w:r>
      <w:r w:rsidR="002A5937" w:rsidRPr="00BA08B2">
        <w:rPr>
          <w:rFonts w:ascii="Arial" w:hAnsi="Arial"/>
          <w:sz w:val="20"/>
        </w:rPr>
        <w:t xml:space="preserve"> </w:t>
      </w:r>
      <w:r w:rsidR="002A5937">
        <w:rPr>
          <w:rFonts w:ascii="Arial" w:hAnsi="Arial"/>
          <w:sz w:val="20"/>
        </w:rPr>
        <w:t xml:space="preserve">human rights groups </w:t>
      </w:r>
      <w:r w:rsidR="00EE435B">
        <w:rPr>
          <w:rFonts w:ascii="Arial" w:hAnsi="Arial"/>
          <w:sz w:val="20"/>
        </w:rPr>
        <w:t xml:space="preserve">have </w:t>
      </w:r>
      <w:r w:rsidR="002A5937">
        <w:rPr>
          <w:rFonts w:ascii="Arial" w:hAnsi="Arial"/>
          <w:sz w:val="20"/>
        </w:rPr>
        <w:t>documented</w:t>
      </w:r>
      <w:r w:rsidR="002A5937" w:rsidRPr="00BA08B2">
        <w:rPr>
          <w:rFonts w:ascii="Arial" w:hAnsi="Arial"/>
          <w:sz w:val="20"/>
        </w:rPr>
        <w:t xml:space="preserve"> </w:t>
      </w:r>
      <w:r w:rsidR="009647D8">
        <w:rPr>
          <w:rFonts w:ascii="Arial" w:hAnsi="Arial"/>
          <w:sz w:val="20"/>
        </w:rPr>
        <w:t>five</w:t>
      </w:r>
      <w:r w:rsidR="002A5937">
        <w:rPr>
          <w:rFonts w:ascii="Arial" w:hAnsi="Arial"/>
          <w:sz w:val="20"/>
        </w:rPr>
        <w:t xml:space="preserve"> cases of</w:t>
      </w:r>
      <w:r w:rsidR="00D74D43">
        <w:rPr>
          <w:rFonts w:ascii="Arial" w:hAnsi="Arial"/>
          <w:sz w:val="20"/>
        </w:rPr>
        <w:t xml:space="preserve"> </w:t>
      </w:r>
      <w:r w:rsidR="004F7427">
        <w:rPr>
          <w:rFonts w:ascii="Arial" w:hAnsi="Arial"/>
          <w:sz w:val="20"/>
        </w:rPr>
        <w:t>torture in the armed forces</w:t>
      </w:r>
      <w:r w:rsidR="002A5937">
        <w:rPr>
          <w:rFonts w:ascii="Arial" w:hAnsi="Arial"/>
          <w:sz w:val="20"/>
        </w:rPr>
        <w:t>.</w:t>
      </w:r>
      <w:r w:rsidR="00657A02">
        <w:rPr>
          <w:rFonts w:ascii="Arial" w:hAnsi="Arial"/>
          <w:sz w:val="20"/>
        </w:rPr>
        <w:t xml:space="preserve"> In</w:t>
      </w:r>
      <w:r w:rsidR="00657A02" w:rsidRPr="00F742E1">
        <w:rPr>
          <w:rFonts w:ascii="Arial" w:hAnsi="Arial"/>
          <w:sz w:val="20"/>
        </w:rPr>
        <w:t xml:space="preserve"> </w:t>
      </w:r>
      <w:r w:rsidR="00657A02">
        <w:rPr>
          <w:rFonts w:ascii="Arial" w:hAnsi="Arial"/>
          <w:sz w:val="20"/>
        </w:rPr>
        <w:t>two</w:t>
      </w:r>
      <w:r w:rsidR="00657A02" w:rsidRPr="00F742E1">
        <w:rPr>
          <w:rFonts w:ascii="Arial" w:hAnsi="Arial"/>
          <w:sz w:val="20"/>
        </w:rPr>
        <w:t xml:space="preserve"> </w:t>
      </w:r>
      <w:r w:rsidR="0043596D" w:rsidRPr="00F742E1">
        <w:rPr>
          <w:rFonts w:ascii="Arial" w:hAnsi="Arial"/>
          <w:sz w:val="20"/>
        </w:rPr>
        <w:t xml:space="preserve">of these </w:t>
      </w:r>
      <w:r w:rsidR="00657A02">
        <w:rPr>
          <w:rFonts w:ascii="Arial" w:hAnsi="Arial"/>
          <w:sz w:val="20"/>
        </w:rPr>
        <w:t>cases</w:t>
      </w:r>
      <w:r w:rsidR="00657A02" w:rsidRPr="00F742E1">
        <w:rPr>
          <w:rFonts w:ascii="Arial" w:hAnsi="Arial"/>
          <w:sz w:val="20"/>
        </w:rPr>
        <w:t xml:space="preserve"> </w:t>
      </w:r>
      <w:r w:rsidR="00657A02">
        <w:rPr>
          <w:rFonts w:ascii="Arial" w:hAnsi="Arial"/>
          <w:sz w:val="20"/>
        </w:rPr>
        <w:t>soldiers</w:t>
      </w:r>
      <w:r w:rsidR="00657A02" w:rsidRPr="00F742E1">
        <w:rPr>
          <w:rFonts w:ascii="Arial" w:hAnsi="Arial"/>
          <w:sz w:val="20"/>
        </w:rPr>
        <w:t xml:space="preserve"> </w:t>
      </w:r>
      <w:r w:rsidR="00657A02">
        <w:rPr>
          <w:rFonts w:ascii="Arial" w:hAnsi="Arial"/>
          <w:sz w:val="20"/>
        </w:rPr>
        <w:t>died and in one case a soldier was injured so se</w:t>
      </w:r>
      <w:r w:rsidR="006010F8">
        <w:rPr>
          <w:rFonts w:ascii="Arial" w:hAnsi="Arial"/>
          <w:sz w:val="20"/>
        </w:rPr>
        <w:t xml:space="preserve">verely that he </w:t>
      </w:r>
      <w:r w:rsidR="00F81698">
        <w:rPr>
          <w:rFonts w:ascii="Arial" w:hAnsi="Arial"/>
          <w:sz w:val="20"/>
        </w:rPr>
        <w:t>was</w:t>
      </w:r>
      <w:r w:rsidR="006010F8">
        <w:rPr>
          <w:rFonts w:ascii="Arial" w:hAnsi="Arial"/>
          <w:sz w:val="20"/>
        </w:rPr>
        <w:t xml:space="preserve"> </w:t>
      </w:r>
      <w:r w:rsidR="00D74D43">
        <w:rPr>
          <w:rFonts w:ascii="Arial" w:hAnsi="Arial"/>
          <w:sz w:val="20"/>
        </w:rPr>
        <w:t xml:space="preserve">left </w:t>
      </w:r>
      <w:r w:rsidR="006010F8">
        <w:rPr>
          <w:rFonts w:ascii="Arial" w:hAnsi="Arial"/>
          <w:sz w:val="20"/>
        </w:rPr>
        <w:t>paralyzed</w:t>
      </w:r>
      <w:r w:rsidR="00D74D43">
        <w:rPr>
          <w:rFonts w:ascii="Arial" w:hAnsi="Arial"/>
          <w:sz w:val="20"/>
        </w:rPr>
        <w:t>.</w:t>
      </w:r>
    </w:p>
    <w:p w:rsidR="009647D8" w:rsidRDefault="009647D8" w:rsidP="002A5937">
      <w:pPr>
        <w:jc w:val="both"/>
        <w:rPr>
          <w:rFonts w:ascii="Arial" w:hAnsi="Arial"/>
          <w:sz w:val="20"/>
        </w:rPr>
      </w:pPr>
    </w:p>
    <w:p w:rsidR="00C2016B" w:rsidRDefault="001F1BD7" w:rsidP="00A4198B">
      <w:pPr>
        <w:jc w:val="both"/>
        <w:rPr>
          <w:rFonts w:ascii="Arial" w:hAnsi="Arial" w:cs="Helvetica"/>
          <w:sz w:val="20"/>
          <w:lang w:val="en-GB"/>
        </w:rPr>
      </w:pPr>
      <w:r>
        <w:rPr>
          <w:rFonts w:ascii="Arial" w:hAnsi="Arial" w:cs="Helvetica"/>
          <w:sz w:val="20"/>
          <w:lang w:val="en-GB"/>
        </w:rPr>
        <w:t>During</w:t>
      </w:r>
      <w:r w:rsidRPr="00F742E1">
        <w:rPr>
          <w:rFonts w:ascii="Arial" w:hAnsi="Arial" w:cs="Helvetica"/>
          <w:sz w:val="20"/>
        </w:rPr>
        <w:t xml:space="preserve"> </w:t>
      </w:r>
      <w:r>
        <w:rPr>
          <w:rFonts w:ascii="Arial" w:hAnsi="Arial" w:cs="Helvetica"/>
          <w:sz w:val="20"/>
          <w:lang w:val="en-GB"/>
        </w:rPr>
        <w:t>research</w:t>
      </w:r>
      <w:r w:rsidRPr="00F742E1">
        <w:rPr>
          <w:rFonts w:ascii="Arial" w:hAnsi="Arial" w:cs="Helvetica"/>
          <w:sz w:val="20"/>
        </w:rPr>
        <w:t xml:space="preserve"> </w:t>
      </w:r>
      <w:r>
        <w:rPr>
          <w:rFonts w:ascii="Arial" w:hAnsi="Arial" w:cs="Helvetica"/>
          <w:sz w:val="20"/>
          <w:lang w:val="en-GB"/>
        </w:rPr>
        <w:t>for</w:t>
      </w:r>
      <w:r w:rsidRPr="00F742E1">
        <w:rPr>
          <w:rFonts w:ascii="Arial" w:hAnsi="Arial" w:cs="Helvetica"/>
          <w:sz w:val="20"/>
        </w:rPr>
        <w:t xml:space="preserve"> </w:t>
      </w:r>
      <w:r>
        <w:rPr>
          <w:rFonts w:ascii="Arial" w:hAnsi="Arial" w:cs="Helvetica"/>
          <w:sz w:val="20"/>
          <w:lang w:val="en-GB"/>
        </w:rPr>
        <w:t>a</w:t>
      </w:r>
      <w:r w:rsidRPr="00F742E1">
        <w:rPr>
          <w:rFonts w:ascii="Arial" w:hAnsi="Arial" w:cs="Helvetica"/>
          <w:sz w:val="20"/>
        </w:rPr>
        <w:t xml:space="preserve"> </w:t>
      </w:r>
      <w:r>
        <w:rPr>
          <w:rFonts w:ascii="Arial" w:hAnsi="Arial" w:cs="Helvetica"/>
          <w:sz w:val="20"/>
          <w:lang w:val="en-GB"/>
        </w:rPr>
        <w:t>study</w:t>
      </w:r>
      <w:r w:rsidRPr="00F742E1">
        <w:rPr>
          <w:rFonts w:ascii="Arial" w:hAnsi="Arial" w:cs="Helvetica"/>
          <w:sz w:val="20"/>
        </w:rPr>
        <w:t xml:space="preserve"> </w:t>
      </w:r>
      <w:r>
        <w:rPr>
          <w:rFonts w:ascii="Arial" w:hAnsi="Arial" w:cs="Helvetica"/>
          <w:sz w:val="20"/>
          <w:lang w:val="en-GB"/>
        </w:rPr>
        <w:t>on</w:t>
      </w:r>
      <w:r w:rsidRPr="00F742E1">
        <w:rPr>
          <w:rFonts w:ascii="Arial" w:hAnsi="Arial" w:cs="Helvetica"/>
          <w:sz w:val="20"/>
        </w:rPr>
        <w:t xml:space="preserve"> </w:t>
      </w:r>
      <w:r w:rsidR="00072489">
        <w:rPr>
          <w:rFonts w:ascii="Arial" w:hAnsi="Arial" w:cs="Helvetica"/>
          <w:sz w:val="20"/>
          <w:lang w:val="en-GB"/>
        </w:rPr>
        <w:t>the</w:t>
      </w:r>
      <w:r w:rsidR="00072489" w:rsidRPr="00F742E1">
        <w:rPr>
          <w:rFonts w:ascii="Arial" w:hAnsi="Arial" w:cs="Helvetica"/>
          <w:sz w:val="20"/>
        </w:rPr>
        <w:t xml:space="preserve"> </w:t>
      </w:r>
      <w:r w:rsidR="00072489">
        <w:rPr>
          <w:rFonts w:ascii="Arial" w:hAnsi="Arial" w:cs="Helvetica"/>
          <w:sz w:val="20"/>
          <w:lang w:val="en-GB"/>
        </w:rPr>
        <w:t>protection</w:t>
      </w:r>
      <w:r w:rsidR="00072489" w:rsidRPr="00F742E1">
        <w:rPr>
          <w:rFonts w:ascii="Arial" w:hAnsi="Arial" w:cs="Helvetica"/>
          <w:sz w:val="20"/>
        </w:rPr>
        <w:t xml:space="preserve"> </w:t>
      </w:r>
      <w:r w:rsidR="00072489">
        <w:rPr>
          <w:rFonts w:ascii="Arial" w:hAnsi="Arial" w:cs="Helvetica"/>
          <w:sz w:val="20"/>
          <w:lang w:val="en-GB"/>
        </w:rPr>
        <w:t>of</w:t>
      </w:r>
      <w:r w:rsidR="00072489" w:rsidRPr="00F742E1">
        <w:rPr>
          <w:rFonts w:ascii="Arial" w:hAnsi="Arial" w:cs="Helvetica"/>
          <w:sz w:val="20"/>
        </w:rPr>
        <w:t xml:space="preserve"> </w:t>
      </w:r>
      <w:r w:rsidR="00072489">
        <w:rPr>
          <w:rFonts w:ascii="Arial" w:hAnsi="Arial" w:cs="Helvetica"/>
          <w:sz w:val="20"/>
          <w:lang w:val="en-GB"/>
        </w:rPr>
        <w:t>human</w:t>
      </w:r>
      <w:r w:rsidR="00072489" w:rsidRPr="00F742E1">
        <w:rPr>
          <w:rFonts w:ascii="Arial" w:hAnsi="Arial" w:cs="Helvetica"/>
          <w:sz w:val="20"/>
        </w:rPr>
        <w:t xml:space="preserve"> </w:t>
      </w:r>
      <w:r w:rsidR="00072489">
        <w:rPr>
          <w:rFonts w:ascii="Arial" w:hAnsi="Arial" w:cs="Helvetica"/>
          <w:sz w:val="20"/>
          <w:lang w:val="en-GB"/>
        </w:rPr>
        <w:t>rights</w:t>
      </w:r>
      <w:r w:rsidRPr="00F742E1">
        <w:rPr>
          <w:rFonts w:ascii="Arial" w:hAnsi="Arial" w:cs="Helvetica"/>
          <w:sz w:val="20"/>
        </w:rPr>
        <w:t xml:space="preserve"> </w:t>
      </w:r>
      <w:r>
        <w:rPr>
          <w:rFonts w:ascii="Arial" w:hAnsi="Arial" w:cs="Helvetica"/>
          <w:sz w:val="20"/>
          <w:lang w:val="en-GB"/>
        </w:rPr>
        <w:t>in</w:t>
      </w:r>
      <w:r w:rsidRPr="00F742E1">
        <w:rPr>
          <w:rFonts w:ascii="Arial" w:hAnsi="Arial" w:cs="Helvetica"/>
          <w:sz w:val="20"/>
        </w:rPr>
        <w:t xml:space="preserve"> </w:t>
      </w:r>
      <w:r>
        <w:rPr>
          <w:rFonts w:ascii="Arial" w:hAnsi="Arial" w:cs="Helvetica"/>
          <w:sz w:val="20"/>
          <w:lang w:val="en-GB"/>
        </w:rPr>
        <w:t>the</w:t>
      </w:r>
      <w:r w:rsidRPr="00F742E1">
        <w:rPr>
          <w:rFonts w:ascii="Arial" w:hAnsi="Arial" w:cs="Helvetica"/>
          <w:sz w:val="20"/>
        </w:rPr>
        <w:t xml:space="preserve"> </w:t>
      </w:r>
      <w:r>
        <w:rPr>
          <w:rFonts w:ascii="Arial" w:hAnsi="Arial" w:cs="Helvetica"/>
          <w:sz w:val="20"/>
          <w:lang w:val="en-GB"/>
        </w:rPr>
        <w:t>army conducted</w:t>
      </w:r>
      <w:r w:rsidR="00C77DD0">
        <w:rPr>
          <w:rFonts w:ascii="Arial" w:hAnsi="Arial" w:cs="Helvetica"/>
          <w:sz w:val="20"/>
          <w:lang w:val="en-GB"/>
        </w:rPr>
        <w:t xml:space="preserve"> jointly by several </w:t>
      </w:r>
      <w:r w:rsidR="00036F00">
        <w:rPr>
          <w:rFonts w:ascii="Arial" w:hAnsi="Arial" w:cs="Helvetica"/>
          <w:sz w:val="20"/>
          <w:lang w:val="en-GB"/>
        </w:rPr>
        <w:t xml:space="preserve">local </w:t>
      </w:r>
      <w:r w:rsidR="00C77DD0">
        <w:rPr>
          <w:rFonts w:ascii="Arial" w:hAnsi="Arial" w:cs="Helvetica"/>
          <w:sz w:val="20"/>
          <w:lang w:val="en-GB"/>
        </w:rPr>
        <w:t>human rights groups</w:t>
      </w:r>
      <w:r>
        <w:rPr>
          <w:rFonts w:ascii="Arial" w:hAnsi="Arial" w:cs="Helvetica"/>
          <w:sz w:val="20"/>
          <w:lang w:val="en-GB"/>
        </w:rPr>
        <w:t xml:space="preserve"> in </w:t>
      </w:r>
      <w:r w:rsidR="00EE75C9">
        <w:rPr>
          <w:rFonts w:ascii="Arial" w:hAnsi="Arial" w:cs="Helvetica"/>
          <w:sz w:val="20"/>
          <w:lang w:val="en-GB"/>
        </w:rPr>
        <w:t>2011 and 2012</w:t>
      </w:r>
      <w:r>
        <w:rPr>
          <w:rFonts w:ascii="Arial" w:hAnsi="Arial" w:cs="Helvetica"/>
          <w:sz w:val="20"/>
          <w:lang w:val="en-GB"/>
        </w:rPr>
        <w:t xml:space="preserve">, </w:t>
      </w:r>
      <w:r w:rsidR="00EE75C9">
        <w:rPr>
          <w:rFonts w:ascii="Arial" w:hAnsi="Arial" w:cs="Helvetica"/>
          <w:sz w:val="20"/>
          <w:lang w:val="en-GB"/>
        </w:rPr>
        <w:t>numerous</w:t>
      </w:r>
      <w:r>
        <w:rPr>
          <w:rFonts w:ascii="Arial" w:hAnsi="Arial" w:cs="Helvetica"/>
          <w:sz w:val="20"/>
          <w:lang w:val="en-GB"/>
        </w:rPr>
        <w:t xml:space="preserve"> soldiers </w:t>
      </w:r>
      <w:r w:rsidR="00C77DD0">
        <w:rPr>
          <w:rFonts w:ascii="Arial" w:hAnsi="Arial" w:cs="Helvetica"/>
          <w:sz w:val="20"/>
          <w:lang w:val="en-GB"/>
        </w:rPr>
        <w:t>reported</w:t>
      </w:r>
      <w:r w:rsidR="00697BED">
        <w:rPr>
          <w:rFonts w:ascii="Arial" w:hAnsi="Arial" w:cs="Helvetica"/>
          <w:sz w:val="20"/>
          <w:lang w:val="en-GB"/>
        </w:rPr>
        <w:t xml:space="preserve"> </w:t>
      </w:r>
      <w:r>
        <w:rPr>
          <w:rFonts w:ascii="Arial" w:hAnsi="Arial" w:cs="Helvetica"/>
          <w:sz w:val="20"/>
          <w:lang w:val="en-GB"/>
        </w:rPr>
        <w:t>that complaining about hazing and other</w:t>
      </w:r>
      <w:r w:rsidR="00193945">
        <w:rPr>
          <w:rFonts w:ascii="Arial" w:hAnsi="Arial" w:cs="Helvetica"/>
          <w:sz w:val="20"/>
          <w:lang w:val="en-GB"/>
        </w:rPr>
        <w:t xml:space="preserve"> torture or</w:t>
      </w:r>
      <w:r>
        <w:rPr>
          <w:rFonts w:ascii="Arial" w:hAnsi="Arial" w:cs="Helvetica"/>
          <w:sz w:val="20"/>
          <w:lang w:val="en-GB"/>
        </w:rPr>
        <w:t xml:space="preserve"> ill-treatment was strongly discouraged </w:t>
      </w:r>
      <w:r w:rsidR="00E63270">
        <w:rPr>
          <w:rFonts w:ascii="Arial" w:hAnsi="Arial" w:cs="Helvetica"/>
          <w:sz w:val="20"/>
          <w:lang w:val="en-GB"/>
        </w:rPr>
        <w:t xml:space="preserve">by peers and commanding officers </w:t>
      </w:r>
      <w:r w:rsidR="00656ECF">
        <w:rPr>
          <w:rFonts w:ascii="Arial" w:hAnsi="Arial" w:cs="Helvetica"/>
          <w:sz w:val="20"/>
          <w:lang w:val="en-GB"/>
        </w:rPr>
        <w:t>in military units</w:t>
      </w:r>
      <w:r>
        <w:rPr>
          <w:rFonts w:ascii="Arial" w:hAnsi="Arial" w:cs="Helvetica"/>
          <w:sz w:val="20"/>
          <w:lang w:val="en-GB"/>
        </w:rPr>
        <w:t xml:space="preserve"> and that anybody who complain</w:t>
      </w:r>
      <w:r w:rsidR="00AF5440">
        <w:rPr>
          <w:rFonts w:ascii="Arial" w:hAnsi="Arial" w:cs="Helvetica"/>
          <w:sz w:val="20"/>
          <w:lang w:val="en-GB"/>
        </w:rPr>
        <w:t>s</w:t>
      </w:r>
      <w:r>
        <w:rPr>
          <w:rFonts w:ascii="Arial" w:hAnsi="Arial" w:cs="Helvetica"/>
          <w:sz w:val="20"/>
          <w:lang w:val="en-GB"/>
        </w:rPr>
        <w:t xml:space="preserve"> would be labelled as a “traitor”</w:t>
      </w:r>
      <w:r w:rsidR="00656ECF">
        <w:rPr>
          <w:rFonts w:ascii="Arial" w:hAnsi="Arial" w:cs="Helvetica"/>
          <w:sz w:val="20"/>
          <w:lang w:val="en-GB"/>
        </w:rPr>
        <w:t xml:space="preserve"> and risk</w:t>
      </w:r>
      <w:r w:rsidR="00785765">
        <w:rPr>
          <w:rFonts w:ascii="Arial" w:hAnsi="Arial" w:cs="Helvetica"/>
          <w:sz w:val="20"/>
          <w:lang w:val="en-GB"/>
        </w:rPr>
        <w:t>ed</w:t>
      </w:r>
      <w:r w:rsidR="00656ECF">
        <w:rPr>
          <w:rFonts w:ascii="Arial" w:hAnsi="Arial" w:cs="Helvetica"/>
          <w:sz w:val="20"/>
          <w:lang w:val="en-GB"/>
        </w:rPr>
        <w:t xml:space="preserve"> further abuse</w:t>
      </w:r>
      <w:r>
        <w:rPr>
          <w:rFonts w:ascii="Arial" w:hAnsi="Arial" w:cs="Helvetica"/>
          <w:sz w:val="20"/>
          <w:lang w:val="en-GB"/>
        </w:rPr>
        <w:t>.</w:t>
      </w:r>
      <w:r w:rsidR="00193945">
        <w:rPr>
          <w:rStyle w:val="a7"/>
          <w:rFonts w:ascii="Arial" w:hAnsi="Arial" w:cs="Helvetica"/>
          <w:sz w:val="20"/>
          <w:lang w:val="en-GB"/>
        </w:rPr>
        <w:footnoteReference w:id="7"/>
      </w:r>
      <w:r>
        <w:rPr>
          <w:rFonts w:ascii="Arial" w:hAnsi="Arial" w:cs="Helvetica"/>
          <w:sz w:val="20"/>
          <w:lang w:val="en-GB"/>
        </w:rPr>
        <w:t xml:space="preserve"> </w:t>
      </w:r>
      <w:r w:rsidR="001349B5">
        <w:rPr>
          <w:rFonts w:ascii="Arial" w:hAnsi="Arial" w:cs="Helvetica"/>
          <w:sz w:val="20"/>
          <w:lang w:val="en-GB"/>
        </w:rPr>
        <w:t xml:space="preserve">Complaints submitted to senior officers usually </w:t>
      </w:r>
      <w:r w:rsidR="00F81698">
        <w:rPr>
          <w:rFonts w:ascii="Arial" w:hAnsi="Arial" w:cs="Helvetica"/>
          <w:sz w:val="20"/>
          <w:lang w:val="en-GB"/>
        </w:rPr>
        <w:t>were not investigated</w:t>
      </w:r>
      <w:r w:rsidR="001349B5">
        <w:rPr>
          <w:rFonts w:ascii="Arial" w:hAnsi="Arial" w:cs="Helvetica"/>
          <w:sz w:val="20"/>
          <w:lang w:val="en-GB"/>
        </w:rPr>
        <w:t xml:space="preserve">. </w:t>
      </w:r>
      <w:r w:rsidR="00B13B14">
        <w:rPr>
          <w:rFonts w:ascii="Arial" w:hAnsi="Arial" w:cs="Helvetica"/>
          <w:sz w:val="20"/>
          <w:lang w:val="en-GB"/>
        </w:rPr>
        <w:t xml:space="preserve">Most </w:t>
      </w:r>
      <w:r w:rsidR="001349B5">
        <w:rPr>
          <w:rFonts w:ascii="Arial" w:hAnsi="Arial" w:cs="Helvetica"/>
          <w:sz w:val="20"/>
          <w:lang w:val="en-GB"/>
        </w:rPr>
        <w:t xml:space="preserve">soldiers questioned by </w:t>
      </w:r>
      <w:r w:rsidR="00C77DD0">
        <w:rPr>
          <w:rFonts w:ascii="Arial" w:hAnsi="Arial" w:cs="Helvetica"/>
          <w:sz w:val="20"/>
          <w:lang w:val="en-GB"/>
        </w:rPr>
        <w:t xml:space="preserve">the </w:t>
      </w:r>
      <w:r w:rsidR="00697BED">
        <w:rPr>
          <w:rFonts w:ascii="Arial" w:hAnsi="Arial" w:cs="Helvetica"/>
          <w:sz w:val="20"/>
          <w:lang w:val="en-GB"/>
        </w:rPr>
        <w:t xml:space="preserve">NGOs </w:t>
      </w:r>
      <w:r w:rsidR="00B13B14">
        <w:rPr>
          <w:rFonts w:ascii="Arial" w:hAnsi="Arial" w:cs="Helvetica"/>
          <w:sz w:val="20"/>
          <w:lang w:val="en-GB"/>
        </w:rPr>
        <w:t xml:space="preserve">saw beatings, kicking and other abuse as a normal feature of army life. </w:t>
      </w:r>
    </w:p>
    <w:p w:rsidR="00C2016B" w:rsidRDefault="00C2016B" w:rsidP="00A4198B">
      <w:pPr>
        <w:jc w:val="both"/>
        <w:rPr>
          <w:rFonts w:ascii="Arial" w:hAnsi="Arial" w:cs="Helvetica"/>
          <w:sz w:val="20"/>
          <w:lang w:val="en-GB"/>
        </w:rPr>
      </w:pPr>
    </w:p>
    <w:p w:rsidR="003C40F6" w:rsidRPr="007C000B" w:rsidRDefault="00F81698" w:rsidP="005C1773">
      <w:pPr>
        <w:jc w:val="both"/>
        <w:rPr>
          <w:rFonts w:ascii="Arial" w:hAnsi="Arial" w:cs="Helvetica"/>
          <w:sz w:val="20"/>
          <w:lang w:val="en-GB"/>
        </w:rPr>
      </w:pPr>
      <w:r>
        <w:rPr>
          <w:rFonts w:ascii="Arial" w:hAnsi="Arial" w:cs="Helvetica"/>
          <w:sz w:val="20"/>
          <w:lang w:val="en-GB"/>
        </w:rPr>
        <w:t>There are a few</w:t>
      </w:r>
      <w:r w:rsidR="00764AE2">
        <w:rPr>
          <w:rFonts w:ascii="Arial" w:hAnsi="Arial" w:cs="Helvetica"/>
          <w:sz w:val="20"/>
          <w:lang w:val="en-GB"/>
        </w:rPr>
        <w:t xml:space="preserve"> </w:t>
      </w:r>
      <w:r w:rsidR="00EC6625">
        <w:rPr>
          <w:rFonts w:ascii="Arial" w:hAnsi="Arial" w:cs="Helvetica"/>
          <w:sz w:val="20"/>
          <w:lang w:val="en-GB"/>
        </w:rPr>
        <w:t>cases</w:t>
      </w:r>
      <w:r w:rsidR="00656ECF">
        <w:rPr>
          <w:rFonts w:ascii="Arial" w:hAnsi="Arial" w:cs="Helvetica"/>
          <w:sz w:val="20"/>
          <w:lang w:val="en-GB"/>
        </w:rPr>
        <w:t xml:space="preserve"> </w:t>
      </w:r>
      <w:r w:rsidR="00EC6625">
        <w:rPr>
          <w:rFonts w:ascii="Arial" w:hAnsi="Arial" w:cs="Helvetica"/>
          <w:sz w:val="20"/>
          <w:lang w:val="en-GB"/>
        </w:rPr>
        <w:t>whe</w:t>
      </w:r>
      <w:r w:rsidR="00640E4F">
        <w:rPr>
          <w:rFonts w:ascii="Arial" w:hAnsi="Arial" w:cs="Helvetica"/>
          <w:sz w:val="20"/>
          <w:lang w:val="en-GB"/>
        </w:rPr>
        <w:t>re</w:t>
      </w:r>
      <w:r w:rsidR="00EC6625">
        <w:rPr>
          <w:rFonts w:ascii="Arial" w:hAnsi="Arial" w:cs="Helvetica"/>
          <w:sz w:val="20"/>
          <w:lang w:val="en-GB"/>
        </w:rPr>
        <w:t xml:space="preserve"> hazing victims</w:t>
      </w:r>
      <w:r w:rsidR="00764AE2">
        <w:rPr>
          <w:rFonts w:ascii="Arial" w:hAnsi="Arial" w:cs="Helvetica"/>
          <w:sz w:val="20"/>
          <w:lang w:val="en-GB"/>
        </w:rPr>
        <w:t xml:space="preserve"> or their families</w:t>
      </w:r>
      <w:r w:rsidR="00EC6625">
        <w:rPr>
          <w:rFonts w:ascii="Arial" w:hAnsi="Arial" w:cs="Helvetica"/>
          <w:sz w:val="20"/>
          <w:lang w:val="en-GB"/>
        </w:rPr>
        <w:t xml:space="preserve"> </w:t>
      </w:r>
      <w:r w:rsidR="00DB0808">
        <w:rPr>
          <w:rFonts w:ascii="Arial" w:hAnsi="Arial" w:cs="Helvetica"/>
          <w:sz w:val="20"/>
          <w:lang w:val="en-GB"/>
        </w:rPr>
        <w:t>decided not to keep silent</w:t>
      </w:r>
      <w:r w:rsidR="00785765">
        <w:rPr>
          <w:rFonts w:ascii="Arial" w:hAnsi="Arial" w:cs="Helvetica"/>
          <w:sz w:val="20"/>
          <w:lang w:val="en-GB"/>
        </w:rPr>
        <w:t>,</w:t>
      </w:r>
      <w:r w:rsidR="000620C4">
        <w:rPr>
          <w:rFonts w:ascii="Arial" w:hAnsi="Arial" w:cs="Helvetica"/>
          <w:sz w:val="20"/>
          <w:lang w:val="en-GB"/>
        </w:rPr>
        <w:t xml:space="preserve"> in particular </w:t>
      </w:r>
      <w:r w:rsidR="00647BFB">
        <w:rPr>
          <w:rFonts w:ascii="Arial" w:hAnsi="Arial" w:cs="Helvetica"/>
          <w:sz w:val="20"/>
          <w:lang w:val="en-GB"/>
        </w:rPr>
        <w:t xml:space="preserve">when their cases were covered </w:t>
      </w:r>
      <w:r w:rsidR="00DB0808">
        <w:rPr>
          <w:rFonts w:ascii="Arial" w:hAnsi="Arial" w:cs="Helvetica"/>
          <w:sz w:val="20"/>
          <w:lang w:val="en-GB"/>
        </w:rPr>
        <w:t xml:space="preserve">extensively by the media </w:t>
      </w:r>
      <w:r w:rsidR="00647BFB">
        <w:rPr>
          <w:rFonts w:ascii="Arial" w:hAnsi="Arial" w:cs="Helvetica"/>
          <w:sz w:val="20"/>
          <w:lang w:val="en-GB"/>
        </w:rPr>
        <w:t xml:space="preserve">or when they </w:t>
      </w:r>
      <w:r w:rsidR="000620C4">
        <w:rPr>
          <w:rFonts w:ascii="Arial" w:hAnsi="Arial" w:cs="Helvetica"/>
          <w:sz w:val="20"/>
          <w:lang w:val="en-GB"/>
        </w:rPr>
        <w:t xml:space="preserve">were taken up by </w:t>
      </w:r>
      <w:r w:rsidR="00DB0808" w:rsidRPr="00F81698">
        <w:rPr>
          <w:rFonts w:ascii="Arial" w:hAnsi="Arial" w:cs="Helvetica"/>
          <w:sz w:val="20"/>
          <w:lang w:val="en-GB"/>
        </w:rPr>
        <w:t>the NGO Young Lawyers Association Amparo</w:t>
      </w:r>
      <w:r w:rsidR="00785765">
        <w:rPr>
          <w:rFonts w:ascii="Arial" w:hAnsi="Arial" w:cs="Helvetica"/>
          <w:sz w:val="20"/>
          <w:lang w:val="en-GB"/>
        </w:rPr>
        <w:t>.</w:t>
      </w:r>
      <w:r w:rsidR="00DB0808">
        <w:rPr>
          <w:rFonts w:ascii="Arial" w:hAnsi="Arial" w:cs="Helvetica"/>
          <w:sz w:val="20"/>
          <w:lang w:val="en-GB"/>
        </w:rPr>
        <w:t xml:space="preserve"> </w:t>
      </w:r>
      <w:r w:rsidR="00785765">
        <w:rPr>
          <w:rFonts w:ascii="Arial" w:hAnsi="Arial" w:cs="Helvetica"/>
          <w:sz w:val="20"/>
          <w:lang w:val="en-GB"/>
        </w:rPr>
        <w:t>In some particular</w:t>
      </w:r>
      <w:r w:rsidR="00CB4CF8">
        <w:rPr>
          <w:rFonts w:ascii="Arial" w:hAnsi="Arial" w:cs="Helvetica"/>
          <w:sz w:val="20"/>
          <w:lang w:val="en-GB"/>
        </w:rPr>
        <w:t>ly</w:t>
      </w:r>
      <w:r w:rsidR="00785765">
        <w:rPr>
          <w:rFonts w:ascii="Arial" w:hAnsi="Arial" w:cs="Helvetica"/>
          <w:sz w:val="20"/>
          <w:lang w:val="en-GB"/>
        </w:rPr>
        <w:t xml:space="preserve"> severe cases </w:t>
      </w:r>
      <w:r w:rsidR="00EC6625">
        <w:rPr>
          <w:rFonts w:ascii="Arial" w:hAnsi="Arial" w:cs="Helvetica"/>
          <w:sz w:val="20"/>
          <w:lang w:val="en-GB"/>
        </w:rPr>
        <w:t>the Military Prosecutor’</w:t>
      </w:r>
      <w:r w:rsidR="0088085A">
        <w:rPr>
          <w:rFonts w:ascii="Arial" w:hAnsi="Arial" w:cs="Helvetica"/>
          <w:sz w:val="20"/>
          <w:lang w:val="en-GB"/>
        </w:rPr>
        <w:t xml:space="preserve">s Office </w:t>
      </w:r>
      <w:r w:rsidR="00036F00">
        <w:rPr>
          <w:rFonts w:ascii="Arial" w:hAnsi="Arial" w:cs="Helvetica"/>
          <w:sz w:val="20"/>
          <w:lang w:val="en-GB"/>
        </w:rPr>
        <w:t xml:space="preserve">usually </w:t>
      </w:r>
      <w:r w:rsidR="00EC6625">
        <w:rPr>
          <w:rFonts w:ascii="Arial" w:hAnsi="Arial" w:cs="Helvetica"/>
          <w:sz w:val="20"/>
          <w:lang w:val="en-GB"/>
        </w:rPr>
        <w:t xml:space="preserve">instigated </w:t>
      </w:r>
      <w:r w:rsidR="000620C4">
        <w:rPr>
          <w:rFonts w:ascii="Arial" w:hAnsi="Arial" w:cs="Helvetica"/>
          <w:sz w:val="20"/>
          <w:lang w:val="en-GB"/>
        </w:rPr>
        <w:t>an investigation and perpetrators were brought to justice</w:t>
      </w:r>
      <w:r w:rsidR="00DB0808">
        <w:rPr>
          <w:rFonts w:ascii="Arial" w:hAnsi="Arial" w:cs="Helvetica"/>
          <w:sz w:val="20"/>
          <w:lang w:val="en-GB"/>
        </w:rPr>
        <w:t>.</w:t>
      </w:r>
      <w:r w:rsidR="00647BFB">
        <w:rPr>
          <w:rFonts w:ascii="Arial" w:hAnsi="Arial" w:cs="Helvetica"/>
          <w:sz w:val="20"/>
          <w:lang w:val="en-GB"/>
        </w:rPr>
        <w:t xml:space="preserve"> </w:t>
      </w:r>
      <w:r w:rsidR="007C000B">
        <w:rPr>
          <w:rFonts w:ascii="Arial" w:hAnsi="Arial" w:cs="Helvetica"/>
          <w:sz w:val="20"/>
          <w:lang w:val="en-GB"/>
        </w:rPr>
        <w:t xml:space="preserve">However, the total number of soldiers’ complaints about hazing received by the </w:t>
      </w:r>
      <w:r w:rsidR="00EC6625">
        <w:rPr>
          <w:rFonts w:ascii="Arial" w:hAnsi="Arial" w:cs="Helvetica"/>
          <w:sz w:val="20"/>
          <w:lang w:val="en-GB"/>
        </w:rPr>
        <w:t>Military Prosecutor’s Office</w:t>
      </w:r>
      <w:r w:rsidR="007C000B">
        <w:rPr>
          <w:rFonts w:ascii="Arial" w:hAnsi="Arial" w:cs="Helvetica"/>
          <w:sz w:val="20"/>
          <w:lang w:val="en-GB"/>
        </w:rPr>
        <w:t xml:space="preserve">, </w:t>
      </w:r>
      <w:r w:rsidR="007926C1">
        <w:rPr>
          <w:rFonts w:ascii="Arial" w:hAnsi="Arial" w:cs="Helvetica"/>
          <w:sz w:val="20"/>
          <w:lang w:val="en-GB"/>
        </w:rPr>
        <w:t>and of</w:t>
      </w:r>
      <w:r w:rsidR="00CB4CF8">
        <w:rPr>
          <w:rFonts w:ascii="Arial" w:hAnsi="Arial" w:cs="Helvetica"/>
          <w:sz w:val="20"/>
          <w:lang w:val="en-GB"/>
        </w:rPr>
        <w:t xml:space="preserve"> </w:t>
      </w:r>
      <w:r w:rsidR="007C000B">
        <w:rPr>
          <w:rFonts w:ascii="Arial" w:hAnsi="Arial" w:cs="Helvetica"/>
          <w:sz w:val="20"/>
          <w:lang w:val="en-GB"/>
        </w:rPr>
        <w:t>investigations into such cases, prosecutions</w:t>
      </w:r>
      <w:r w:rsidR="00956C42">
        <w:rPr>
          <w:rFonts w:ascii="Arial" w:hAnsi="Arial" w:cs="Helvetica"/>
          <w:sz w:val="20"/>
          <w:lang w:val="en-GB"/>
        </w:rPr>
        <w:t xml:space="preserve"> and convictions</w:t>
      </w:r>
      <w:r w:rsidR="002F35C3">
        <w:rPr>
          <w:rFonts w:ascii="Arial" w:hAnsi="Arial" w:cs="Helvetica"/>
          <w:sz w:val="20"/>
          <w:lang w:val="en-GB"/>
        </w:rPr>
        <w:t xml:space="preserve"> </w:t>
      </w:r>
      <w:r w:rsidR="007C000B">
        <w:rPr>
          <w:rFonts w:ascii="Arial" w:hAnsi="Arial" w:cs="Helvetica"/>
          <w:sz w:val="20"/>
          <w:lang w:val="en-GB"/>
        </w:rPr>
        <w:t xml:space="preserve">is not known. </w:t>
      </w:r>
      <w:r w:rsidR="005D7A84">
        <w:rPr>
          <w:rFonts w:ascii="Arial" w:hAnsi="Arial" w:cs="Helvetica"/>
          <w:sz w:val="20"/>
          <w:lang w:val="en-GB"/>
        </w:rPr>
        <w:t xml:space="preserve">When asked by </w:t>
      </w:r>
      <w:r w:rsidR="00C77DD0">
        <w:rPr>
          <w:rFonts w:ascii="Arial" w:hAnsi="Arial" w:cs="Helvetica"/>
          <w:sz w:val="20"/>
          <w:lang w:val="en-GB"/>
        </w:rPr>
        <w:t>the human rights groups who jointly conducted the study</w:t>
      </w:r>
      <w:r w:rsidR="005D7A84">
        <w:rPr>
          <w:rFonts w:ascii="Arial" w:hAnsi="Arial" w:cs="Helvetica"/>
          <w:sz w:val="20"/>
          <w:lang w:val="en-GB"/>
        </w:rPr>
        <w:t xml:space="preserve">, the Military Prosecutor’s Office responded </w:t>
      </w:r>
      <w:r w:rsidR="00DA064B">
        <w:rPr>
          <w:rFonts w:ascii="Arial" w:hAnsi="Arial" w:cs="Helvetica"/>
          <w:sz w:val="20"/>
          <w:lang w:val="en-GB"/>
        </w:rPr>
        <w:t xml:space="preserve">in 2012 </w:t>
      </w:r>
      <w:r w:rsidR="005D7A84">
        <w:rPr>
          <w:rFonts w:ascii="Arial" w:hAnsi="Arial" w:cs="Helvetica"/>
          <w:sz w:val="20"/>
          <w:lang w:val="en-GB"/>
        </w:rPr>
        <w:t xml:space="preserve">that statistics on how many people </w:t>
      </w:r>
      <w:r w:rsidR="00DA064B">
        <w:rPr>
          <w:rFonts w:ascii="Arial" w:hAnsi="Arial" w:cs="Helvetica"/>
          <w:sz w:val="20"/>
          <w:lang w:val="en-GB"/>
        </w:rPr>
        <w:t>were</w:t>
      </w:r>
      <w:r w:rsidR="005D7A84">
        <w:rPr>
          <w:rFonts w:ascii="Arial" w:hAnsi="Arial" w:cs="Helvetica"/>
          <w:sz w:val="20"/>
          <w:lang w:val="en-GB"/>
        </w:rPr>
        <w:t xml:space="preserve"> brought to justice</w:t>
      </w:r>
      <w:r w:rsidR="008516E8">
        <w:rPr>
          <w:rFonts w:ascii="Arial" w:hAnsi="Arial" w:cs="Helvetica"/>
          <w:sz w:val="20"/>
          <w:lang w:val="en-GB"/>
        </w:rPr>
        <w:t xml:space="preserve"> for hazing are a state secret.</w:t>
      </w:r>
      <w:r w:rsidR="005C1773">
        <w:rPr>
          <w:rFonts w:ascii="Arial" w:hAnsi="Arial" w:cs="Helvetica"/>
          <w:sz w:val="20"/>
        </w:rPr>
        <w:t xml:space="preserve"> The lack of transparenc</w:t>
      </w:r>
      <w:r w:rsidR="007C000B">
        <w:rPr>
          <w:rFonts w:ascii="Arial" w:hAnsi="Arial" w:cs="Helvetica"/>
          <w:sz w:val="20"/>
        </w:rPr>
        <w:t>y</w:t>
      </w:r>
      <w:r w:rsidR="005C1773">
        <w:rPr>
          <w:rFonts w:ascii="Arial" w:hAnsi="Arial" w:cs="Helvetica"/>
          <w:sz w:val="20"/>
        </w:rPr>
        <w:t xml:space="preserve"> persists</w:t>
      </w:r>
      <w:r w:rsidR="00CB4CF8">
        <w:rPr>
          <w:rFonts w:ascii="Arial" w:hAnsi="Arial" w:cs="Helvetica"/>
          <w:sz w:val="20"/>
        </w:rPr>
        <w:t xml:space="preserve">, </w:t>
      </w:r>
      <w:r w:rsidR="007926C1">
        <w:rPr>
          <w:rFonts w:ascii="Arial" w:hAnsi="Arial" w:cs="Helvetica"/>
          <w:sz w:val="20"/>
        </w:rPr>
        <w:t>and so does impunity</w:t>
      </w:r>
      <w:r w:rsidR="00764AE2">
        <w:rPr>
          <w:rFonts w:ascii="Arial" w:hAnsi="Arial" w:cs="Helvetica"/>
          <w:sz w:val="20"/>
        </w:rPr>
        <w:t>.</w:t>
      </w:r>
    </w:p>
    <w:p w:rsidR="003C40F6" w:rsidRDefault="003C40F6" w:rsidP="005C1773">
      <w:pPr>
        <w:jc w:val="both"/>
        <w:rPr>
          <w:rFonts w:ascii="Arial" w:hAnsi="Arial" w:cs="Helvetica"/>
          <w:sz w:val="20"/>
        </w:rPr>
      </w:pPr>
    </w:p>
    <w:p w:rsidR="00967B81" w:rsidRDefault="009F7D24" w:rsidP="005C1773">
      <w:pPr>
        <w:jc w:val="both"/>
        <w:rPr>
          <w:rFonts w:ascii="Arial" w:hAnsi="Arial" w:cs="Helvetica"/>
          <w:sz w:val="20"/>
        </w:rPr>
      </w:pPr>
      <w:r>
        <w:rPr>
          <w:rFonts w:ascii="Arial" w:hAnsi="Arial" w:cs="Helvetica"/>
          <w:sz w:val="20"/>
        </w:rPr>
        <w:t>We are concerned that prisoner amnesties have been ap</w:t>
      </w:r>
      <w:r w:rsidR="003C40F6">
        <w:rPr>
          <w:rFonts w:ascii="Arial" w:hAnsi="Arial" w:cs="Helvetica"/>
          <w:sz w:val="20"/>
        </w:rPr>
        <w:t>plied to perpetrators of hazing</w:t>
      </w:r>
      <w:r>
        <w:rPr>
          <w:rFonts w:ascii="Arial" w:hAnsi="Arial" w:cs="Helvetica"/>
          <w:sz w:val="20"/>
        </w:rPr>
        <w:t xml:space="preserve">. For example, all those convicted for </w:t>
      </w:r>
      <w:r w:rsidR="003C40F6">
        <w:rPr>
          <w:rFonts w:ascii="Arial" w:hAnsi="Arial" w:cs="Helvetica"/>
          <w:sz w:val="20"/>
        </w:rPr>
        <w:t>beating to death</w:t>
      </w:r>
      <w:r>
        <w:rPr>
          <w:rFonts w:ascii="Arial" w:hAnsi="Arial" w:cs="Helvetica"/>
          <w:sz w:val="20"/>
        </w:rPr>
        <w:t xml:space="preserve"> </w:t>
      </w:r>
      <w:r w:rsidRPr="00D35557">
        <w:rPr>
          <w:rFonts w:ascii="Arial" w:hAnsi="Arial" w:cs="Helvetica"/>
          <w:b/>
          <w:sz w:val="20"/>
        </w:rPr>
        <w:t>Maksud Nosirov</w:t>
      </w:r>
      <w:r w:rsidR="00A55234">
        <w:rPr>
          <w:rFonts w:ascii="Arial" w:hAnsi="Arial" w:cs="Helvetica"/>
          <w:sz w:val="20"/>
        </w:rPr>
        <w:t>, a young conscript,</w:t>
      </w:r>
      <w:r>
        <w:rPr>
          <w:rFonts w:ascii="Arial" w:hAnsi="Arial" w:cs="Helvetica"/>
          <w:sz w:val="20"/>
        </w:rPr>
        <w:t xml:space="preserve"> </w:t>
      </w:r>
      <w:r w:rsidR="003C40F6">
        <w:rPr>
          <w:rFonts w:ascii="Arial" w:hAnsi="Arial" w:cs="Helvetica"/>
          <w:sz w:val="20"/>
        </w:rPr>
        <w:t xml:space="preserve">on 27 </w:t>
      </w:r>
      <w:r w:rsidR="00534C80">
        <w:rPr>
          <w:rFonts w:ascii="Arial" w:hAnsi="Arial" w:cs="Helvetica"/>
          <w:sz w:val="20"/>
        </w:rPr>
        <w:t>January</w:t>
      </w:r>
      <w:r w:rsidR="003C40F6">
        <w:rPr>
          <w:rFonts w:ascii="Arial" w:hAnsi="Arial" w:cs="Helvetica"/>
          <w:sz w:val="20"/>
        </w:rPr>
        <w:t xml:space="preserve"> 2014, had their prison sentences reduced significantly under a major Presidential prisoner amnesty issued on 29 October</w:t>
      </w:r>
      <w:r w:rsidR="00CB4CF8">
        <w:rPr>
          <w:rFonts w:ascii="Arial" w:hAnsi="Arial" w:cs="Helvetica"/>
          <w:sz w:val="20"/>
        </w:rPr>
        <w:t xml:space="preserve"> </w:t>
      </w:r>
      <w:r w:rsidR="007926C1">
        <w:rPr>
          <w:rFonts w:ascii="Arial" w:hAnsi="Arial" w:cs="Helvetica"/>
          <w:sz w:val="20"/>
        </w:rPr>
        <w:t>2014</w:t>
      </w:r>
      <w:r w:rsidR="003C40F6">
        <w:rPr>
          <w:rFonts w:ascii="Arial" w:hAnsi="Arial" w:cs="Helvetica"/>
          <w:sz w:val="20"/>
        </w:rPr>
        <w:t>.</w:t>
      </w:r>
    </w:p>
    <w:p w:rsidR="00967B81" w:rsidRDefault="00967B81" w:rsidP="005C1773">
      <w:pPr>
        <w:jc w:val="both"/>
        <w:rPr>
          <w:rFonts w:ascii="Arial" w:hAnsi="Arial" w:cs="Helvetica"/>
          <w:sz w:val="20"/>
        </w:rPr>
      </w:pPr>
    </w:p>
    <w:p w:rsidR="00967B81" w:rsidRDefault="00967B81" w:rsidP="00967B81">
      <w:pPr>
        <w:jc w:val="both"/>
        <w:rPr>
          <w:rFonts w:ascii="Arial" w:hAnsi="Arial"/>
          <w:sz w:val="20"/>
        </w:rPr>
      </w:pPr>
      <w:r>
        <w:rPr>
          <w:rFonts w:ascii="Arial" w:hAnsi="Arial" w:cs="Helvetica"/>
          <w:sz w:val="20"/>
        </w:rPr>
        <w:t>In addition, we are concerned that victims of hazing are often not granted f</w:t>
      </w:r>
      <w:r>
        <w:rPr>
          <w:rFonts w:ascii="Arial" w:hAnsi="Arial"/>
          <w:sz w:val="20"/>
        </w:rPr>
        <w:t xml:space="preserve">air and adequate compensation and rehabilitation for damages caused. For example, </w:t>
      </w:r>
      <w:r w:rsidR="005C7860">
        <w:rPr>
          <w:rFonts w:ascii="Arial" w:hAnsi="Arial"/>
          <w:sz w:val="20"/>
        </w:rPr>
        <w:t xml:space="preserve">in March 2014, </w:t>
      </w:r>
      <w:r w:rsidRPr="00BA08B2">
        <w:rPr>
          <w:rFonts w:ascii="Arial" w:hAnsi="Arial"/>
          <w:sz w:val="20"/>
        </w:rPr>
        <w:t xml:space="preserve">22-year old </w:t>
      </w:r>
      <w:r w:rsidR="005C7860" w:rsidRPr="00D35557">
        <w:rPr>
          <w:rFonts w:ascii="Arial" w:hAnsi="Arial"/>
          <w:b/>
          <w:sz w:val="20"/>
        </w:rPr>
        <w:t>Shakhbol Mirzoev</w:t>
      </w:r>
      <w:r w:rsidR="005C7860">
        <w:rPr>
          <w:rFonts w:ascii="Arial" w:hAnsi="Arial"/>
          <w:sz w:val="20"/>
        </w:rPr>
        <w:t xml:space="preserve"> </w:t>
      </w:r>
      <w:r>
        <w:rPr>
          <w:rFonts w:ascii="Arial" w:hAnsi="Arial"/>
          <w:sz w:val="20"/>
        </w:rPr>
        <w:t xml:space="preserve">was severely injured as a result of hazing and </w:t>
      </w:r>
      <w:r w:rsidR="005C7860">
        <w:rPr>
          <w:rFonts w:ascii="Arial" w:hAnsi="Arial"/>
          <w:sz w:val="20"/>
        </w:rPr>
        <w:t>became paralyzed</w:t>
      </w:r>
      <w:r>
        <w:rPr>
          <w:rFonts w:ascii="Arial" w:hAnsi="Arial"/>
          <w:sz w:val="20"/>
        </w:rPr>
        <w:t xml:space="preserve">. </w:t>
      </w:r>
      <w:r w:rsidR="00C45BCB">
        <w:rPr>
          <w:rFonts w:ascii="Arial" w:hAnsi="Arial"/>
          <w:sz w:val="20"/>
        </w:rPr>
        <w:t xml:space="preserve">Although the administration of the Border Guards of Tajikistan promised to cover all medical expenses, it only covered expenses incurred during his hospitalization at the National Medical Center in Tajikistan. His parents </w:t>
      </w:r>
      <w:r w:rsidR="00785765">
        <w:rPr>
          <w:rFonts w:ascii="Arial" w:hAnsi="Arial"/>
          <w:sz w:val="20"/>
        </w:rPr>
        <w:t xml:space="preserve">had to sell </w:t>
      </w:r>
      <w:r w:rsidR="00C45BCB">
        <w:rPr>
          <w:rFonts w:ascii="Arial" w:hAnsi="Arial"/>
          <w:sz w:val="20"/>
        </w:rPr>
        <w:t xml:space="preserve">their house in order to cover </w:t>
      </w:r>
      <w:r w:rsidR="008F656D">
        <w:rPr>
          <w:rFonts w:ascii="Arial" w:hAnsi="Arial"/>
          <w:sz w:val="20"/>
        </w:rPr>
        <w:t>all additional</w:t>
      </w:r>
      <w:r w:rsidR="00C45BCB">
        <w:rPr>
          <w:rFonts w:ascii="Arial" w:hAnsi="Arial"/>
          <w:sz w:val="20"/>
        </w:rPr>
        <w:t xml:space="preserve"> medical costs. </w:t>
      </w:r>
    </w:p>
    <w:p w:rsidR="00967B81" w:rsidRDefault="00967B81" w:rsidP="00967B81">
      <w:pPr>
        <w:jc w:val="both"/>
        <w:rPr>
          <w:rFonts w:ascii="Arial" w:hAnsi="Arial"/>
          <w:sz w:val="20"/>
        </w:rPr>
      </w:pPr>
    </w:p>
    <w:p w:rsidR="00AE27E3" w:rsidRDefault="00AE27E3" w:rsidP="00AE27E3">
      <w:pPr>
        <w:jc w:val="both"/>
        <w:rPr>
          <w:rFonts w:ascii="Arial" w:hAnsi="Arial" w:cs="Helvetica"/>
          <w:sz w:val="20"/>
          <w:lang w:val="en-GB"/>
        </w:rPr>
      </w:pPr>
      <w:r>
        <w:rPr>
          <w:rFonts w:ascii="Arial" w:hAnsi="Arial" w:cs="Helvetica"/>
          <w:sz w:val="20"/>
          <w:lang w:val="en-GB"/>
        </w:rPr>
        <w:t xml:space="preserve">In order to counteract widespread hazing in the army, military authorities should allow independent </w:t>
      </w:r>
      <w:r w:rsidR="007B617C">
        <w:rPr>
          <w:rFonts w:ascii="Arial" w:hAnsi="Arial" w:cs="Helvetica"/>
          <w:sz w:val="20"/>
          <w:lang w:val="en-GB"/>
        </w:rPr>
        <w:t xml:space="preserve">and unlimited </w:t>
      </w:r>
      <w:r>
        <w:rPr>
          <w:rFonts w:ascii="Arial" w:hAnsi="Arial" w:cs="Helvetica"/>
          <w:sz w:val="20"/>
          <w:lang w:val="en-GB"/>
        </w:rPr>
        <w:t>public monitoring of conscription commissions and military units. C</w:t>
      </w:r>
      <w:r w:rsidR="007B617C">
        <w:rPr>
          <w:rFonts w:ascii="Arial" w:hAnsi="Arial" w:cs="Helvetica"/>
          <w:sz w:val="20"/>
          <w:lang w:val="en-GB"/>
        </w:rPr>
        <w:t>urrently, c</w:t>
      </w:r>
      <w:r>
        <w:rPr>
          <w:rFonts w:ascii="Arial" w:hAnsi="Arial" w:cs="Helvetica"/>
          <w:sz w:val="20"/>
          <w:lang w:val="en-GB"/>
        </w:rPr>
        <w:t xml:space="preserve">ivil society groups have no access to </w:t>
      </w:r>
      <w:r w:rsidR="00D659BF">
        <w:rPr>
          <w:rFonts w:ascii="Arial" w:hAnsi="Arial" w:cs="Helvetica"/>
          <w:sz w:val="20"/>
          <w:lang w:val="en-GB"/>
        </w:rPr>
        <w:t>military facilities</w:t>
      </w:r>
      <w:r>
        <w:rPr>
          <w:rFonts w:ascii="Arial" w:hAnsi="Arial" w:cs="Helvetica"/>
          <w:sz w:val="20"/>
          <w:lang w:val="en-GB"/>
        </w:rPr>
        <w:t xml:space="preserve"> except as part of the Monitoring Group led by the Ombudsman of Tajikistan. </w:t>
      </w:r>
      <w:r w:rsidR="00A12B35">
        <w:rPr>
          <w:rFonts w:ascii="Arial" w:hAnsi="Arial" w:cs="Helvetica"/>
          <w:sz w:val="20"/>
          <w:lang w:val="en-GB"/>
        </w:rPr>
        <w:t xml:space="preserve">Since </w:t>
      </w:r>
      <w:r w:rsidR="00D659BF">
        <w:rPr>
          <w:rFonts w:ascii="Arial" w:hAnsi="Arial" w:cs="Helvetica"/>
          <w:sz w:val="20"/>
          <w:lang w:val="en-GB"/>
        </w:rPr>
        <w:t>the Monitoring Group</w:t>
      </w:r>
      <w:r w:rsidR="00A12B35">
        <w:rPr>
          <w:rFonts w:ascii="Arial" w:hAnsi="Arial" w:cs="Helvetica"/>
          <w:sz w:val="20"/>
          <w:lang w:val="en-GB"/>
        </w:rPr>
        <w:t xml:space="preserve"> started functioning in February 2014, </w:t>
      </w:r>
      <w:r w:rsidR="00D659BF">
        <w:rPr>
          <w:rFonts w:ascii="Arial" w:hAnsi="Arial" w:cs="Helvetica"/>
          <w:sz w:val="20"/>
          <w:lang w:val="en-GB"/>
        </w:rPr>
        <w:t>it</w:t>
      </w:r>
      <w:r>
        <w:rPr>
          <w:rFonts w:ascii="Arial" w:hAnsi="Arial" w:cs="Helvetica"/>
          <w:sz w:val="20"/>
          <w:lang w:val="en-GB"/>
        </w:rPr>
        <w:t xml:space="preserve"> h</w:t>
      </w:r>
      <w:r w:rsidR="00A12B35">
        <w:rPr>
          <w:rFonts w:ascii="Arial" w:hAnsi="Arial" w:cs="Helvetica"/>
          <w:sz w:val="20"/>
          <w:lang w:val="en-GB"/>
        </w:rPr>
        <w:t>as visited three military units</w:t>
      </w:r>
      <w:r>
        <w:rPr>
          <w:rFonts w:ascii="Arial" w:hAnsi="Arial" w:cs="Helvetica"/>
          <w:sz w:val="20"/>
          <w:lang w:val="en-GB"/>
        </w:rPr>
        <w:t xml:space="preserve">. In two cases the visits had been agreed with the Ministry of Defence in advance. </w:t>
      </w:r>
    </w:p>
    <w:p w:rsidR="00AE27E3" w:rsidRDefault="00AE27E3" w:rsidP="00A4198B">
      <w:pPr>
        <w:jc w:val="both"/>
        <w:rPr>
          <w:rFonts w:ascii="Arial" w:hAnsi="Arial" w:cs="Helvetica"/>
          <w:sz w:val="20"/>
          <w:lang w:val="en-GB"/>
        </w:rPr>
      </w:pPr>
    </w:p>
    <w:p w:rsidR="00C247D6" w:rsidRPr="0040506F" w:rsidRDefault="00D62389" w:rsidP="008E3EA9">
      <w:pPr>
        <w:jc w:val="both"/>
        <w:rPr>
          <w:rFonts w:ascii="Arial" w:hAnsi="Arial" w:cs="Helvetica"/>
          <w:sz w:val="20"/>
          <w:lang w:val="en-GB"/>
        </w:rPr>
      </w:pPr>
      <w:r>
        <w:rPr>
          <w:rFonts w:ascii="Arial" w:hAnsi="Arial" w:cs="Helvetica"/>
          <w:sz w:val="20"/>
          <w:lang w:val="en-GB"/>
        </w:rPr>
        <w:t>T</w:t>
      </w:r>
      <w:r w:rsidR="008516E8">
        <w:rPr>
          <w:rFonts w:ascii="Arial" w:hAnsi="Arial" w:cs="Helvetica"/>
          <w:sz w:val="20"/>
          <w:lang w:val="en-GB"/>
        </w:rPr>
        <w:t xml:space="preserve">he </w:t>
      </w:r>
      <w:r w:rsidR="00FA1430">
        <w:rPr>
          <w:rFonts w:ascii="Arial" w:hAnsi="Arial" w:cs="Helvetica"/>
          <w:sz w:val="20"/>
          <w:lang w:val="en-GB"/>
        </w:rPr>
        <w:t xml:space="preserve">Committee against Torture recommended Tajikistan in its concluding observations issued </w:t>
      </w:r>
      <w:r w:rsidR="001211C7">
        <w:rPr>
          <w:rFonts w:ascii="Arial" w:hAnsi="Arial" w:cs="Helvetica"/>
          <w:sz w:val="20"/>
          <w:lang w:val="en-GB"/>
        </w:rPr>
        <w:t>in 2013 to</w:t>
      </w:r>
      <w:r w:rsidR="00FA1430">
        <w:rPr>
          <w:rFonts w:ascii="Arial" w:hAnsi="Arial" w:cs="Helvetica"/>
          <w:sz w:val="20"/>
          <w:lang w:val="en-GB"/>
        </w:rPr>
        <w:t xml:space="preserve"> </w:t>
      </w:r>
      <w:r w:rsidR="00FA1430" w:rsidRPr="00BA76CB">
        <w:rPr>
          <w:rFonts w:ascii="Arial" w:hAnsi="Arial" w:cs="Helvetica"/>
          <w:sz w:val="20"/>
          <w:lang w:val="en-GB"/>
        </w:rPr>
        <w:t>“ensure prompt, impartial and thorough investigation of all allegations of such acts. Where evidence of hazing is found, it should establish the liability of direct perpetrators and those in the chain of command, prosecute and punish those responsible with penalties that are consistent with the gravity of the act committed, make the results of such investigations public, and provide compensation and full rehabilitation to victims, including through appropriate medical and psychological assistance.”</w:t>
      </w:r>
    </w:p>
    <w:p w:rsidR="00C2678F" w:rsidRPr="000667A4" w:rsidRDefault="00C247D6" w:rsidP="0040506F">
      <w:pPr>
        <w:pStyle w:val="1"/>
        <w:rPr>
          <w:rFonts w:ascii="Times New Roman" w:hAnsi="Times New Roman"/>
          <w:lang w:val="en-GB"/>
        </w:rPr>
      </w:pPr>
      <w:bookmarkStart w:id="5" w:name="_Toc285095806"/>
      <w:r w:rsidRPr="00EC172B">
        <w:rPr>
          <w:lang w:val="en-GB"/>
        </w:rPr>
        <w:t>RECOMMENDATIONS</w:t>
      </w:r>
      <w:bookmarkEnd w:id="5"/>
    </w:p>
    <w:p w:rsidR="0040506F" w:rsidRDefault="0040506F" w:rsidP="00AC395D">
      <w:pPr>
        <w:jc w:val="both"/>
        <w:rPr>
          <w:rFonts w:ascii="Arial" w:hAnsi="Arial"/>
          <w:sz w:val="20"/>
          <w:lang w:val="en-GB"/>
        </w:rPr>
      </w:pPr>
    </w:p>
    <w:p w:rsidR="008447E5" w:rsidRDefault="008447E5" w:rsidP="00AC395D">
      <w:pPr>
        <w:jc w:val="both"/>
        <w:rPr>
          <w:rFonts w:ascii="Arial" w:hAnsi="Arial"/>
          <w:sz w:val="20"/>
          <w:lang w:val="en-GB"/>
        </w:rPr>
      </w:pPr>
      <w:r>
        <w:rPr>
          <w:rFonts w:ascii="Arial" w:hAnsi="Arial"/>
          <w:sz w:val="20"/>
          <w:lang w:val="en-GB"/>
        </w:rPr>
        <w:t xml:space="preserve">As </w:t>
      </w:r>
      <w:r w:rsidR="004871E3">
        <w:rPr>
          <w:rFonts w:ascii="Arial" w:hAnsi="Arial"/>
          <w:sz w:val="20"/>
          <w:lang w:val="en-GB"/>
        </w:rPr>
        <w:t>a party</w:t>
      </w:r>
      <w:r>
        <w:rPr>
          <w:rFonts w:ascii="Arial" w:hAnsi="Arial"/>
          <w:sz w:val="20"/>
          <w:lang w:val="en-GB"/>
        </w:rPr>
        <w:t xml:space="preserve"> to the I</w:t>
      </w:r>
      <w:r w:rsidR="00643E97">
        <w:rPr>
          <w:rFonts w:ascii="Arial" w:hAnsi="Arial"/>
          <w:sz w:val="20"/>
          <w:lang w:val="en-GB"/>
        </w:rPr>
        <w:t xml:space="preserve">nternational Covenant on Civil and Political Rights </w:t>
      </w:r>
      <w:r>
        <w:rPr>
          <w:rFonts w:ascii="Arial" w:hAnsi="Arial"/>
          <w:sz w:val="20"/>
          <w:lang w:val="en-GB"/>
        </w:rPr>
        <w:t xml:space="preserve">and </w:t>
      </w:r>
      <w:r w:rsidR="004871E3">
        <w:rPr>
          <w:rFonts w:ascii="Arial" w:hAnsi="Arial"/>
          <w:sz w:val="20"/>
          <w:lang w:val="en-GB"/>
        </w:rPr>
        <w:t xml:space="preserve">the </w:t>
      </w:r>
      <w:r w:rsidR="00643E97" w:rsidRPr="00B90A13">
        <w:rPr>
          <w:rFonts w:ascii="Arial" w:hAnsi="Arial"/>
          <w:bCs/>
          <w:sz w:val="20"/>
          <w:lang w:val="de-DE"/>
        </w:rPr>
        <w:t>Convention against Torture and Other Cruel, Inhuman or Degrading Treatment or Punishment</w:t>
      </w:r>
      <w:r w:rsidR="00EE048C">
        <w:rPr>
          <w:rFonts w:ascii="Arial" w:hAnsi="Arial"/>
          <w:bCs/>
          <w:sz w:val="20"/>
          <w:lang w:val="de-DE"/>
        </w:rPr>
        <w:t>,</w:t>
      </w:r>
      <w:r w:rsidR="00643E97">
        <w:rPr>
          <w:rFonts w:ascii="Arial" w:hAnsi="Arial"/>
          <w:bCs/>
          <w:sz w:val="20"/>
          <w:lang w:val="de-DE"/>
        </w:rPr>
        <w:t xml:space="preserve"> </w:t>
      </w:r>
      <w:r w:rsidR="00643E97">
        <w:rPr>
          <w:rFonts w:ascii="Arial" w:hAnsi="Arial"/>
          <w:sz w:val="20"/>
          <w:lang w:val="en-GB"/>
        </w:rPr>
        <w:t>T</w:t>
      </w:r>
      <w:r>
        <w:rPr>
          <w:rFonts w:ascii="Arial" w:hAnsi="Arial"/>
          <w:sz w:val="20"/>
          <w:lang w:val="en-GB"/>
        </w:rPr>
        <w:t xml:space="preserve">ajikistan has committed itself to </w:t>
      </w:r>
      <w:r w:rsidR="00AD1917">
        <w:rPr>
          <w:rFonts w:ascii="Arial" w:hAnsi="Arial"/>
          <w:sz w:val="20"/>
          <w:lang w:val="en-GB"/>
        </w:rPr>
        <w:t>prevent acts of</w:t>
      </w:r>
      <w:r w:rsidR="00AC395D">
        <w:rPr>
          <w:rFonts w:ascii="Arial" w:hAnsi="Arial"/>
          <w:sz w:val="20"/>
          <w:lang w:val="en-GB"/>
        </w:rPr>
        <w:t xml:space="preserve"> torture</w:t>
      </w:r>
      <w:r w:rsidR="00643E97">
        <w:rPr>
          <w:rFonts w:ascii="Arial" w:hAnsi="Arial"/>
          <w:sz w:val="20"/>
          <w:lang w:val="en-GB"/>
        </w:rPr>
        <w:t xml:space="preserve"> and other ill-treatment</w:t>
      </w:r>
      <w:r w:rsidR="00AC395D">
        <w:rPr>
          <w:rFonts w:ascii="Arial" w:hAnsi="Arial"/>
          <w:sz w:val="20"/>
          <w:lang w:val="en-GB"/>
        </w:rPr>
        <w:t xml:space="preserve"> under its jurisdiction</w:t>
      </w:r>
      <w:r w:rsidR="00646846">
        <w:rPr>
          <w:rFonts w:ascii="Arial" w:hAnsi="Arial"/>
          <w:sz w:val="20"/>
          <w:lang w:val="en-GB"/>
        </w:rPr>
        <w:t>. It should implement all concluding observations</w:t>
      </w:r>
      <w:r w:rsidR="00AC395D">
        <w:rPr>
          <w:rFonts w:ascii="Arial" w:hAnsi="Arial"/>
          <w:sz w:val="20"/>
          <w:lang w:val="en-GB"/>
        </w:rPr>
        <w:t xml:space="preserve"> </w:t>
      </w:r>
      <w:r w:rsidR="00646846">
        <w:rPr>
          <w:rFonts w:ascii="Arial" w:hAnsi="Arial"/>
          <w:sz w:val="20"/>
          <w:lang w:val="en-GB"/>
        </w:rPr>
        <w:t xml:space="preserve">made by </w:t>
      </w:r>
      <w:r w:rsidR="00AC395D">
        <w:rPr>
          <w:rFonts w:ascii="Arial" w:hAnsi="Arial"/>
          <w:sz w:val="20"/>
          <w:lang w:val="en-GB"/>
        </w:rPr>
        <w:t xml:space="preserve">the </w:t>
      </w:r>
      <w:r w:rsidR="005D6740">
        <w:rPr>
          <w:rFonts w:ascii="Arial" w:hAnsi="Arial"/>
          <w:sz w:val="20"/>
          <w:lang w:val="en-GB"/>
        </w:rPr>
        <w:t xml:space="preserve">UN </w:t>
      </w:r>
      <w:r w:rsidR="00AC395D">
        <w:rPr>
          <w:rFonts w:ascii="Arial" w:hAnsi="Arial"/>
          <w:sz w:val="20"/>
          <w:lang w:val="en-GB"/>
        </w:rPr>
        <w:t xml:space="preserve">Human Rights Committee and the </w:t>
      </w:r>
      <w:r w:rsidR="005D6740">
        <w:rPr>
          <w:rFonts w:ascii="Arial" w:hAnsi="Arial"/>
          <w:sz w:val="20"/>
          <w:lang w:val="en-GB"/>
        </w:rPr>
        <w:t xml:space="preserve">UN </w:t>
      </w:r>
      <w:r w:rsidR="00AC395D">
        <w:rPr>
          <w:rFonts w:ascii="Arial" w:hAnsi="Arial"/>
          <w:sz w:val="20"/>
          <w:lang w:val="en-GB"/>
        </w:rPr>
        <w:t xml:space="preserve">Committee against </w:t>
      </w:r>
      <w:r w:rsidR="00517C8D">
        <w:rPr>
          <w:rFonts w:ascii="Arial" w:hAnsi="Arial"/>
          <w:sz w:val="20"/>
          <w:lang w:val="en-GB"/>
        </w:rPr>
        <w:t>T</w:t>
      </w:r>
      <w:r w:rsidR="00AC395D">
        <w:rPr>
          <w:rFonts w:ascii="Arial" w:hAnsi="Arial"/>
          <w:sz w:val="20"/>
          <w:lang w:val="en-GB"/>
        </w:rPr>
        <w:t xml:space="preserve">orture as well as recommendations by the Special Rapporteur on torture and those issued under the </w:t>
      </w:r>
      <w:r w:rsidR="00646846">
        <w:rPr>
          <w:rFonts w:ascii="Arial" w:hAnsi="Arial"/>
          <w:sz w:val="20"/>
          <w:lang w:val="en-GB"/>
        </w:rPr>
        <w:t xml:space="preserve">Universal Periodic Review process in </w:t>
      </w:r>
      <w:r w:rsidR="00AC395D">
        <w:rPr>
          <w:rFonts w:ascii="Arial" w:hAnsi="Arial"/>
          <w:sz w:val="20"/>
          <w:lang w:val="en-GB"/>
        </w:rPr>
        <w:t>2011</w:t>
      </w:r>
      <w:r w:rsidR="00646846">
        <w:rPr>
          <w:rFonts w:ascii="Arial" w:hAnsi="Arial"/>
          <w:sz w:val="20"/>
          <w:lang w:val="en-GB"/>
        </w:rPr>
        <w:t>.</w:t>
      </w:r>
      <w:r w:rsidR="00517C8D">
        <w:rPr>
          <w:rStyle w:val="a7"/>
          <w:rFonts w:ascii="Arial" w:hAnsi="Arial"/>
          <w:sz w:val="20"/>
          <w:lang w:val="en-GB"/>
        </w:rPr>
        <w:footnoteReference w:id="8"/>
      </w:r>
      <w:r w:rsidR="00646846">
        <w:rPr>
          <w:rFonts w:ascii="Arial" w:hAnsi="Arial"/>
          <w:sz w:val="20"/>
          <w:lang w:val="en-GB"/>
        </w:rPr>
        <w:t xml:space="preserve"> </w:t>
      </w:r>
    </w:p>
    <w:p w:rsidR="008447E5" w:rsidRDefault="008447E5" w:rsidP="008E3EA9">
      <w:pPr>
        <w:jc w:val="both"/>
        <w:rPr>
          <w:rFonts w:ascii="Arial" w:hAnsi="Arial"/>
          <w:sz w:val="20"/>
          <w:lang w:val="en-GB"/>
        </w:rPr>
      </w:pPr>
    </w:p>
    <w:p w:rsidR="00B6535B" w:rsidRDefault="00EC172B" w:rsidP="008E3EA9">
      <w:pPr>
        <w:jc w:val="both"/>
        <w:rPr>
          <w:rFonts w:ascii="Arial" w:hAnsi="Arial"/>
          <w:sz w:val="20"/>
          <w:lang w:val="en-GB"/>
        </w:rPr>
      </w:pPr>
      <w:r>
        <w:rPr>
          <w:rFonts w:ascii="Arial" w:hAnsi="Arial"/>
          <w:sz w:val="20"/>
          <w:lang w:val="en-GB"/>
        </w:rPr>
        <w:t>Below is a list of recommendations that we believe should be implemented by the aut</w:t>
      </w:r>
      <w:r w:rsidR="00B6535B">
        <w:rPr>
          <w:rFonts w:ascii="Arial" w:hAnsi="Arial"/>
          <w:sz w:val="20"/>
          <w:lang w:val="en-GB"/>
        </w:rPr>
        <w:t>horities as a matter of urgency in order to make significant process towards ending torture in the country.</w:t>
      </w:r>
    </w:p>
    <w:p w:rsidR="00B6535B" w:rsidRDefault="00B6535B" w:rsidP="008E3EA9">
      <w:pPr>
        <w:jc w:val="both"/>
        <w:rPr>
          <w:rFonts w:ascii="Arial" w:hAnsi="Arial"/>
          <w:sz w:val="20"/>
          <w:lang w:val="en-GB"/>
        </w:rPr>
      </w:pPr>
    </w:p>
    <w:p w:rsidR="00D21D9B" w:rsidRPr="009169A4" w:rsidRDefault="00E37C88" w:rsidP="00D21D9B">
      <w:pPr>
        <w:jc w:val="both"/>
        <w:rPr>
          <w:rFonts w:ascii="Arial" w:hAnsi="Arial"/>
          <w:b/>
          <w:sz w:val="20"/>
          <w:lang w:val="en-GB"/>
        </w:rPr>
      </w:pPr>
      <w:r>
        <w:rPr>
          <w:rFonts w:ascii="Arial" w:hAnsi="Arial"/>
          <w:b/>
          <w:sz w:val="20"/>
          <w:lang w:val="en-GB"/>
        </w:rPr>
        <w:t>Strengthening fundamental</w:t>
      </w:r>
      <w:r w:rsidR="00677CC4" w:rsidRPr="00677CC4">
        <w:rPr>
          <w:rFonts w:ascii="Arial" w:hAnsi="Arial"/>
          <w:b/>
          <w:sz w:val="20"/>
          <w:lang w:val="en-GB"/>
        </w:rPr>
        <w:t xml:space="preserve"> safeguards</w:t>
      </w:r>
      <w:r>
        <w:rPr>
          <w:rFonts w:ascii="Arial" w:hAnsi="Arial"/>
          <w:b/>
          <w:sz w:val="20"/>
          <w:lang w:val="en-GB"/>
        </w:rPr>
        <w:t xml:space="preserve"> against torture</w:t>
      </w:r>
    </w:p>
    <w:p w:rsidR="00FC6A25" w:rsidRPr="00FC6A25" w:rsidRDefault="00785765" w:rsidP="00D21D9B">
      <w:pPr>
        <w:numPr>
          <w:ilvl w:val="0"/>
          <w:numId w:val="2"/>
        </w:numPr>
        <w:jc w:val="both"/>
        <w:rPr>
          <w:rFonts w:ascii="Arial" w:hAnsi="Arial"/>
          <w:sz w:val="20"/>
        </w:rPr>
      </w:pPr>
      <w:r>
        <w:rPr>
          <w:rFonts w:ascii="Arial" w:hAnsi="Arial"/>
          <w:sz w:val="20"/>
          <w:lang w:val="de-DE"/>
        </w:rPr>
        <w:t xml:space="preserve">Ensure that legislation provides that the definition of deprivation of liberty is </w:t>
      </w:r>
      <w:r w:rsidR="00D21D9B" w:rsidRPr="00D21D9B">
        <w:rPr>
          <w:rFonts w:ascii="Arial" w:hAnsi="Arial"/>
          <w:sz w:val="20"/>
          <w:lang w:val="de-DE"/>
        </w:rPr>
        <w:t>in line with</w:t>
      </w:r>
      <w:r w:rsidR="00D21D9B">
        <w:rPr>
          <w:rFonts w:ascii="Arial" w:hAnsi="Arial"/>
          <w:sz w:val="20"/>
          <w:lang w:val="de-DE"/>
        </w:rPr>
        <w:t xml:space="preserve"> </w:t>
      </w:r>
      <w:r w:rsidR="00D21D9B" w:rsidRPr="00D21D9B">
        <w:rPr>
          <w:rFonts w:ascii="Arial" w:hAnsi="Arial"/>
          <w:sz w:val="20"/>
          <w:lang w:val="de-DE"/>
        </w:rPr>
        <w:t>international human rights law</w:t>
      </w:r>
      <w:r w:rsidR="00CB4CF8">
        <w:rPr>
          <w:rFonts w:ascii="Arial" w:hAnsi="Arial"/>
          <w:sz w:val="20"/>
          <w:lang w:val="de-DE"/>
        </w:rPr>
        <w:t>,</w:t>
      </w:r>
      <w:r w:rsidR="00D21D9B" w:rsidRPr="00D21D9B">
        <w:rPr>
          <w:rFonts w:ascii="Arial" w:hAnsi="Arial"/>
          <w:sz w:val="20"/>
          <w:lang w:val="de-DE"/>
        </w:rPr>
        <w:t xml:space="preserve"> and </w:t>
      </w:r>
      <w:r w:rsidR="00CB4CF8">
        <w:rPr>
          <w:rFonts w:ascii="Arial" w:hAnsi="Arial"/>
          <w:sz w:val="20"/>
          <w:lang w:val="de-DE"/>
        </w:rPr>
        <w:t xml:space="preserve">in particular </w:t>
      </w:r>
      <w:r w:rsidR="00D21D9B" w:rsidRPr="00D21D9B">
        <w:rPr>
          <w:rFonts w:ascii="Arial" w:hAnsi="Arial"/>
          <w:sz w:val="20"/>
          <w:lang w:val="de-DE"/>
        </w:rPr>
        <w:t xml:space="preserve">that the </w:t>
      </w:r>
      <w:r w:rsidR="00CB4CF8">
        <w:rPr>
          <w:rFonts w:ascii="Arial" w:hAnsi="Arial"/>
          <w:sz w:val="20"/>
          <w:lang w:val="de-DE"/>
        </w:rPr>
        <w:t xml:space="preserve">moment of apprehension </w:t>
      </w:r>
      <w:r w:rsidR="00D21D9B" w:rsidRPr="00D21D9B">
        <w:rPr>
          <w:rFonts w:ascii="Arial" w:hAnsi="Arial"/>
          <w:sz w:val="20"/>
          <w:lang w:val="de-DE"/>
        </w:rPr>
        <w:t>is treated as the outset of</w:t>
      </w:r>
      <w:r w:rsidR="00D21D9B">
        <w:rPr>
          <w:rFonts w:ascii="Arial" w:hAnsi="Arial"/>
          <w:sz w:val="20"/>
          <w:lang w:val="de-DE"/>
        </w:rPr>
        <w:t xml:space="preserve"> </w:t>
      </w:r>
      <w:r w:rsidR="00D21D9B" w:rsidRPr="00D21D9B">
        <w:rPr>
          <w:rFonts w:ascii="Arial" w:hAnsi="Arial"/>
          <w:sz w:val="20"/>
          <w:lang w:val="de-DE"/>
        </w:rPr>
        <w:t>detention and recorded as such in the detention record.</w:t>
      </w:r>
    </w:p>
    <w:p w:rsidR="00FC6A25" w:rsidRDefault="00FC6A25" w:rsidP="00FC6A25">
      <w:pPr>
        <w:numPr>
          <w:ilvl w:val="0"/>
          <w:numId w:val="2"/>
        </w:numPr>
        <w:jc w:val="both"/>
        <w:rPr>
          <w:rFonts w:ascii="Arial" w:hAnsi="Arial"/>
          <w:sz w:val="20"/>
          <w:lang w:val="de-DE"/>
        </w:rPr>
      </w:pPr>
      <w:r w:rsidRPr="00FC6A25">
        <w:rPr>
          <w:rFonts w:ascii="Arial" w:hAnsi="Arial"/>
          <w:sz w:val="20"/>
          <w:lang w:val="de-DE"/>
        </w:rPr>
        <w:t>Amend the C</w:t>
      </w:r>
      <w:r w:rsidR="009C4BF7">
        <w:rPr>
          <w:rFonts w:ascii="Arial" w:hAnsi="Arial"/>
          <w:sz w:val="20"/>
          <w:lang w:val="de-DE"/>
        </w:rPr>
        <w:t xml:space="preserve">riminal </w:t>
      </w:r>
      <w:r w:rsidRPr="00FC6A25">
        <w:rPr>
          <w:rFonts w:ascii="Arial" w:hAnsi="Arial"/>
          <w:sz w:val="20"/>
          <w:lang w:val="de-DE"/>
        </w:rPr>
        <w:t>P</w:t>
      </w:r>
      <w:r w:rsidR="009C4BF7">
        <w:rPr>
          <w:rFonts w:ascii="Arial" w:hAnsi="Arial"/>
          <w:sz w:val="20"/>
          <w:lang w:val="de-DE"/>
        </w:rPr>
        <w:t xml:space="preserve">rocedure </w:t>
      </w:r>
      <w:r w:rsidRPr="00FC6A25">
        <w:rPr>
          <w:rFonts w:ascii="Arial" w:hAnsi="Arial"/>
          <w:sz w:val="20"/>
          <w:lang w:val="de-DE"/>
        </w:rPr>
        <w:t>C</w:t>
      </w:r>
      <w:r w:rsidR="009C4BF7">
        <w:rPr>
          <w:rFonts w:ascii="Arial" w:hAnsi="Arial"/>
          <w:sz w:val="20"/>
          <w:lang w:val="de-DE"/>
        </w:rPr>
        <w:t>ode of Tajikistan (CPC)</w:t>
      </w:r>
      <w:r w:rsidRPr="00FC6A25">
        <w:rPr>
          <w:rFonts w:ascii="Arial" w:hAnsi="Arial"/>
          <w:sz w:val="20"/>
          <w:lang w:val="de-DE"/>
        </w:rPr>
        <w:t xml:space="preserve"> to ensure that it explicitly provides, from the moment of </w:t>
      </w:r>
      <w:r>
        <w:rPr>
          <w:rFonts w:ascii="Arial" w:hAnsi="Arial"/>
          <w:sz w:val="20"/>
          <w:lang w:val="de-DE"/>
        </w:rPr>
        <w:t>apprehension</w:t>
      </w:r>
      <w:r w:rsidRPr="00FC6A25">
        <w:rPr>
          <w:rFonts w:ascii="Arial" w:hAnsi="Arial"/>
          <w:sz w:val="20"/>
          <w:lang w:val="de-DE"/>
        </w:rPr>
        <w:t xml:space="preserve">, for the right to notify a third person, of access to a lawyer of their choice, </w:t>
      </w:r>
      <w:r w:rsidR="009169A4">
        <w:rPr>
          <w:rFonts w:ascii="Arial" w:hAnsi="Arial"/>
          <w:sz w:val="20"/>
          <w:lang w:val="de-DE"/>
        </w:rPr>
        <w:t>a</w:t>
      </w:r>
      <w:r>
        <w:rPr>
          <w:rFonts w:ascii="Arial" w:hAnsi="Arial"/>
          <w:sz w:val="20"/>
          <w:lang w:val="de-DE"/>
        </w:rPr>
        <w:t xml:space="preserve">nd </w:t>
      </w:r>
      <w:r w:rsidRPr="00FC6A25">
        <w:rPr>
          <w:rFonts w:ascii="Arial" w:hAnsi="Arial"/>
          <w:sz w:val="20"/>
          <w:lang w:val="de-DE"/>
        </w:rPr>
        <w:t xml:space="preserve">ensure detainees are informed of these rights at the moment of </w:t>
      </w:r>
      <w:r w:rsidR="00785765">
        <w:rPr>
          <w:rFonts w:ascii="Arial" w:hAnsi="Arial"/>
          <w:sz w:val="20"/>
          <w:lang w:val="de-DE"/>
        </w:rPr>
        <w:t>detention</w:t>
      </w:r>
      <w:r w:rsidR="009169A4">
        <w:rPr>
          <w:rFonts w:ascii="Arial" w:hAnsi="Arial"/>
          <w:sz w:val="20"/>
          <w:lang w:val="de-DE"/>
        </w:rPr>
        <w:t>.</w:t>
      </w:r>
    </w:p>
    <w:p w:rsidR="00A846DF" w:rsidRPr="00A846DF" w:rsidRDefault="00A846DF" w:rsidP="00A846DF">
      <w:pPr>
        <w:numPr>
          <w:ilvl w:val="0"/>
          <w:numId w:val="2"/>
        </w:numPr>
        <w:jc w:val="both"/>
        <w:rPr>
          <w:rFonts w:ascii="Arial" w:hAnsi="Arial"/>
          <w:sz w:val="20"/>
          <w:lang w:val="de-DE"/>
        </w:rPr>
      </w:pPr>
      <w:r>
        <w:rPr>
          <w:rFonts w:ascii="Arial" w:hAnsi="Arial"/>
          <w:sz w:val="20"/>
          <w:lang w:val="de-DE"/>
        </w:rPr>
        <w:t xml:space="preserve">Amend the CPC to ensure that </w:t>
      </w:r>
      <w:r w:rsidRPr="00A846DF">
        <w:rPr>
          <w:rFonts w:ascii="Arial" w:hAnsi="Arial"/>
          <w:sz w:val="20"/>
          <w:lang w:val="de-DE"/>
        </w:rPr>
        <w:t>families and lawyers are notified in advance of any transfers of detainees</w:t>
      </w:r>
      <w:r>
        <w:rPr>
          <w:rFonts w:ascii="Arial" w:hAnsi="Arial"/>
          <w:sz w:val="20"/>
          <w:lang w:val="de-DE"/>
        </w:rPr>
        <w:t xml:space="preserve"> </w:t>
      </w:r>
      <w:r w:rsidR="006C0241">
        <w:rPr>
          <w:rFonts w:ascii="Arial" w:hAnsi="Arial"/>
          <w:sz w:val="20"/>
          <w:lang w:val="de-DE"/>
        </w:rPr>
        <w:t>from any form of detention or imprisonment to another, in line with</w:t>
      </w:r>
      <w:r>
        <w:rPr>
          <w:rFonts w:ascii="Arial" w:hAnsi="Arial"/>
          <w:sz w:val="20"/>
          <w:lang w:val="de-DE"/>
        </w:rPr>
        <w:t xml:space="preserve"> </w:t>
      </w:r>
      <w:r w:rsidRPr="00A846DF">
        <w:rPr>
          <w:rFonts w:ascii="Arial" w:hAnsi="Arial"/>
          <w:sz w:val="20"/>
          <w:lang w:val="de-DE"/>
        </w:rPr>
        <w:t>Principle 16(1) of the UN Body of Principles for the Protection of All Persons under any fo</w:t>
      </w:r>
      <w:r w:rsidR="006C0241">
        <w:rPr>
          <w:rFonts w:ascii="Arial" w:hAnsi="Arial"/>
          <w:sz w:val="20"/>
          <w:lang w:val="de-DE"/>
        </w:rPr>
        <w:t>rm of Detention or Imprisonment.</w:t>
      </w:r>
    </w:p>
    <w:p w:rsidR="00C03E74" w:rsidRPr="00C03E74" w:rsidRDefault="00785765" w:rsidP="00D21D9B">
      <w:pPr>
        <w:numPr>
          <w:ilvl w:val="0"/>
          <w:numId w:val="2"/>
        </w:numPr>
        <w:jc w:val="both"/>
        <w:rPr>
          <w:rFonts w:ascii="Arial" w:hAnsi="Arial"/>
          <w:sz w:val="20"/>
        </w:rPr>
      </w:pPr>
      <w:r>
        <w:rPr>
          <w:rFonts w:ascii="Arial" w:hAnsi="Arial"/>
          <w:sz w:val="20"/>
          <w:lang w:val="de-DE"/>
        </w:rPr>
        <w:t xml:space="preserve">Establish in law the full information that must be included in the registration, including </w:t>
      </w:r>
      <w:r w:rsidR="00C03E74">
        <w:rPr>
          <w:rFonts w:ascii="Arial" w:hAnsi="Arial"/>
          <w:sz w:val="20"/>
          <w:lang w:val="de-DE"/>
        </w:rPr>
        <w:t>the identity of the arresting officer/s</w:t>
      </w:r>
      <w:r>
        <w:rPr>
          <w:rFonts w:ascii="Arial" w:hAnsi="Arial"/>
          <w:sz w:val="20"/>
          <w:lang w:val="de-DE"/>
        </w:rPr>
        <w:t>, as well as time, reasons and location of the arrest</w:t>
      </w:r>
      <w:r w:rsidR="00C03E74">
        <w:rPr>
          <w:rFonts w:ascii="Arial" w:hAnsi="Arial"/>
          <w:sz w:val="20"/>
          <w:lang w:val="de-DE"/>
        </w:rPr>
        <w:t>.</w:t>
      </w:r>
    </w:p>
    <w:p w:rsidR="00386CD6" w:rsidRPr="00386CD6" w:rsidRDefault="00EF7E53" w:rsidP="00D21D9B">
      <w:pPr>
        <w:numPr>
          <w:ilvl w:val="0"/>
          <w:numId w:val="2"/>
        </w:numPr>
        <w:jc w:val="both"/>
        <w:rPr>
          <w:rFonts w:ascii="Arial" w:hAnsi="Arial"/>
          <w:sz w:val="20"/>
        </w:rPr>
      </w:pPr>
      <w:r>
        <w:rPr>
          <w:rFonts w:ascii="Arial" w:hAnsi="Arial"/>
          <w:sz w:val="20"/>
          <w:lang w:val="de-DE"/>
        </w:rPr>
        <w:t xml:space="preserve">Mandate </w:t>
      </w:r>
      <w:r w:rsidR="009755EE">
        <w:rPr>
          <w:rFonts w:ascii="Arial" w:hAnsi="Arial"/>
          <w:sz w:val="20"/>
        </w:rPr>
        <w:t xml:space="preserve">that </w:t>
      </w:r>
      <w:r>
        <w:rPr>
          <w:rFonts w:ascii="Arial" w:hAnsi="Arial"/>
          <w:sz w:val="20"/>
        </w:rPr>
        <w:t xml:space="preserve">all </w:t>
      </w:r>
      <w:r w:rsidR="0048314A">
        <w:rPr>
          <w:rFonts w:ascii="Arial" w:hAnsi="Arial"/>
          <w:sz w:val="20"/>
        </w:rPr>
        <w:t xml:space="preserve">detainees are brought before a judge </w:t>
      </w:r>
      <w:r w:rsidRPr="00C04C5D">
        <w:rPr>
          <w:rFonts w:ascii="Arial" w:hAnsi="Arial"/>
          <w:sz w:val="20"/>
          <w:lang w:val="en-GB"/>
        </w:rPr>
        <w:t xml:space="preserve">within 48 hours </w:t>
      </w:r>
      <w:r w:rsidR="004A200C">
        <w:rPr>
          <w:rFonts w:ascii="Arial" w:hAnsi="Arial"/>
          <w:sz w:val="20"/>
        </w:rPr>
        <w:t xml:space="preserve">after apprehension; </w:t>
      </w:r>
      <w:r w:rsidR="004A200C" w:rsidRPr="004A200C">
        <w:rPr>
          <w:rFonts w:ascii="Arial" w:hAnsi="Arial"/>
          <w:sz w:val="20"/>
          <w:lang w:val="de-DE"/>
        </w:rPr>
        <w:t>strengthen the presumption in favour of liberty</w:t>
      </w:r>
      <w:r w:rsidR="004A200C">
        <w:rPr>
          <w:rFonts w:ascii="Arial" w:hAnsi="Arial"/>
          <w:sz w:val="20"/>
          <w:lang w:val="de-DE"/>
        </w:rPr>
        <w:t xml:space="preserve">; </w:t>
      </w:r>
      <w:r w:rsidR="00365B61">
        <w:rPr>
          <w:rFonts w:ascii="Arial" w:hAnsi="Arial"/>
          <w:sz w:val="20"/>
          <w:lang w:val="de-DE"/>
        </w:rPr>
        <w:t xml:space="preserve">and </w:t>
      </w:r>
      <w:r>
        <w:rPr>
          <w:rFonts w:ascii="Arial" w:hAnsi="Arial"/>
          <w:sz w:val="20"/>
          <w:lang w:val="de-DE"/>
        </w:rPr>
        <w:t xml:space="preserve">ensure </w:t>
      </w:r>
      <w:r w:rsidR="00365B61">
        <w:rPr>
          <w:rFonts w:ascii="Arial" w:hAnsi="Arial"/>
          <w:sz w:val="20"/>
          <w:lang w:val="de-DE"/>
        </w:rPr>
        <w:t>that judges inquire into the treatment in custody.</w:t>
      </w:r>
    </w:p>
    <w:p w:rsidR="003F2A6D" w:rsidRPr="003F2A6D" w:rsidRDefault="00386CD6" w:rsidP="003F2A6D">
      <w:pPr>
        <w:numPr>
          <w:ilvl w:val="0"/>
          <w:numId w:val="2"/>
        </w:numPr>
        <w:jc w:val="both"/>
        <w:rPr>
          <w:rFonts w:ascii="Arial" w:hAnsi="Arial"/>
          <w:sz w:val="20"/>
          <w:lang w:val="de-DE"/>
        </w:rPr>
      </w:pPr>
      <w:r w:rsidRPr="00386CD6">
        <w:rPr>
          <w:rFonts w:ascii="Arial" w:hAnsi="Arial"/>
          <w:sz w:val="20"/>
          <w:lang w:val="de-DE"/>
        </w:rPr>
        <w:t>Ensure that anyone arriving at a detention facility undergoes a routine medical</w:t>
      </w:r>
      <w:r>
        <w:rPr>
          <w:rFonts w:ascii="Arial" w:hAnsi="Arial"/>
          <w:sz w:val="20"/>
          <w:lang w:val="de-DE"/>
        </w:rPr>
        <w:t xml:space="preserve"> </w:t>
      </w:r>
      <w:r w:rsidRPr="00386CD6">
        <w:rPr>
          <w:rFonts w:ascii="Arial" w:hAnsi="Arial"/>
          <w:sz w:val="20"/>
          <w:lang w:val="de-DE"/>
        </w:rPr>
        <w:t>examination</w:t>
      </w:r>
      <w:r w:rsidR="00C553BD">
        <w:rPr>
          <w:rFonts w:ascii="Arial" w:hAnsi="Arial"/>
          <w:sz w:val="20"/>
          <w:lang w:val="de-DE"/>
        </w:rPr>
        <w:t xml:space="preserve">. </w:t>
      </w:r>
      <w:r w:rsidRPr="00386CD6">
        <w:rPr>
          <w:rFonts w:ascii="Arial" w:hAnsi="Arial"/>
          <w:sz w:val="20"/>
          <w:lang w:val="de-DE"/>
        </w:rPr>
        <w:t xml:space="preserve"> </w:t>
      </w:r>
      <w:r w:rsidR="00C553BD">
        <w:rPr>
          <w:rFonts w:ascii="Arial" w:hAnsi="Arial"/>
          <w:sz w:val="20"/>
        </w:rPr>
        <w:t xml:space="preserve">Ensure that medical personnel working inside detention facilities are truly independent </w:t>
      </w:r>
      <w:r w:rsidR="00DC3CB8">
        <w:rPr>
          <w:rFonts w:ascii="Arial" w:hAnsi="Arial"/>
          <w:sz w:val="20"/>
        </w:rPr>
        <w:t>from</w:t>
      </w:r>
      <w:r w:rsidR="00C553BD">
        <w:rPr>
          <w:rFonts w:ascii="Arial" w:hAnsi="Arial"/>
          <w:sz w:val="20"/>
        </w:rPr>
        <w:t xml:space="preserve"> law enforcement agencies and are trained </w:t>
      </w:r>
      <w:r w:rsidR="00DC3CB8">
        <w:rPr>
          <w:rFonts w:ascii="Arial" w:hAnsi="Arial"/>
          <w:sz w:val="20"/>
        </w:rPr>
        <w:t xml:space="preserve">in accordance to </w:t>
      </w:r>
      <w:r w:rsidR="00C553BD">
        <w:rPr>
          <w:rFonts w:ascii="Arial" w:hAnsi="Arial"/>
          <w:sz w:val="20"/>
        </w:rPr>
        <w:t xml:space="preserve">the provisions of the Istanbul Protocol. </w:t>
      </w:r>
      <w:r w:rsidR="00C553BD">
        <w:rPr>
          <w:rFonts w:ascii="Arial" w:hAnsi="Arial"/>
          <w:sz w:val="20"/>
          <w:lang w:val="de-DE"/>
        </w:rPr>
        <w:t>E</w:t>
      </w:r>
      <w:r w:rsidRPr="00386CD6">
        <w:rPr>
          <w:rFonts w:ascii="Arial" w:hAnsi="Arial"/>
          <w:sz w:val="20"/>
          <w:lang w:val="de-DE"/>
        </w:rPr>
        <w:t>nsure independent medical examinations are provided when requested by</w:t>
      </w:r>
      <w:r>
        <w:rPr>
          <w:rFonts w:ascii="Arial" w:hAnsi="Arial"/>
          <w:sz w:val="20"/>
          <w:lang w:val="de-DE"/>
        </w:rPr>
        <w:t xml:space="preserve"> </w:t>
      </w:r>
      <w:r w:rsidRPr="00386CD6">
        <w:rPr>
          <w:rFonts w:ascii="Arial" w:hAnsi="Arial"/>
          <w:sz w:val="20"/>
          <w:lang w:val="de-DE"/>
        </w:rPr>
        <w:t>the detainee and not solely when permitted or requested by officials</w:t>
      </w:r>
      <w:r w:rsidR="00C553BD">
        <w:rPr>
          <w:rFonts w:ascii="Arial" w:hAnsi="Arial"/>
          <w:sz w:val="20"/>
          <w:lang w:val="de-DE"/>
        </w:rPr>
        <w:t xml:space="preserve"> and that </w:t>
      </w:r>
      <w:r w:rsidRPr="00386CD6">
        <w:rPr>
          <w:rFonts w:ascii="Arial" w:hAnsi="Arial"/>
          <w:sz w:val="20"/>
          <w:lang w:val="de-DE"/>
        </w:rPr>
        <w:t>such</w:t>
      </w:r>
      <w:r w:rsidR="003F2A6D">
        <w:rPr>
          <w:rFonts w:ascii="Arial" w:hAnsi="Arial"/>
          <w:sz w:val="20"/>
          <w:lang w:val="de-DE"/>
        </w:rPr>
        <w:t xml:space="preserve"> </w:t>
      </w:r>
      <w:r w:rsidRPr="003F2A6D">
        <w:rPr>
          <w:rFonts w:ascii="Arial" w:hAnsi="Arial"/>
          <w:sz w:val="20"/>
          <w:lang w:val="de-DE"/>
        </w:rPr>
        <w:t>examinations are carried out in private</w:t>
      </w:r>
      <w:r w:rsidR="00DC3CB8">
        <w:rPr>
          <w:rFonts w:ascii="Arial" w:hAnsi="Arial"/>
          <w:sz w:val="20"/>
          <w:lang w:val="de-DE"/>
        </w:rPr>
        <w:t xml:space="preserve">, without the presence of law enforcement officials, </w:t>
      </w:r>
      <w:r w:rsidRPr="003F2A6D">
        <w:rPr>
          <w:rFonts w:ascii="Arial" w:hAnsi="Arial"/>
          <w:sz w:val="20"/>
          <w:lang w:val="de-DE"/>
        </w:rPr>
        <w:t>and free of charge for detainees</w:t>
      </w:r>
      <w:r w:rsidR="00C553BD">
        <w:rPr>
          <w:rFonts w:ascii="Arial" w:hAnsi="Arial"/>
          <w:sz w:val="20"/>
          <w:lang w:val="de-DE"/>
        </w:rPr>
        <w:t>.</w:t>
      </w:r>
    </w:p>
    <w:p w:rsidR="002228A8" w:rsidRDefault="00DC3CB8" w:rsidP="00AE188D">
      <w:pPr>
        <w:numPr>
          <w:ilvl w:val="0"/>
          <w:numId w:val="2"/>
        </w:numPr>
        <w:jc w:val="both"/>
        <w:rPr>
          <w:rFonts w:ascii="Arial" w:hAnsi="Arial"/>
          <w:sz w:val="20"/>
          <w:lang w:val="de-DE"/>
        </w:rPr>
      </w:pPr>
      <w:r>
        <w:rPr>
          <w:rFonts w:ascii="Arial" w:hAnsi="Arial"/>
          <w:sz w:val="20"/>
          <w:lang w:val="de-DE"/>
        </w:rPr>
        <w:t>Ensure that any</w:t>
      </w:r>
      <w:r w:rsidR="00AE188D" w:rsidRPr="00AE188D">
        <w:rPr>
          <w:rFonts w:ascii="Arial" w:hAnsi="Arial"/>
          <w:sz w:val="20"/>
          <w:lang w:val="de-DE"/>
        </w:rPr>
        <w:t xml:space="preserve"> statement or confession </w:t>
      </w:r>
      <w:r>
        <w:rPr>
          <w:rFonts w:ascii="Arial" w:hAnsi="Arial"/>
          <w:sz w:val="20"/>
          <w:lang w:val="de-DE"/>
        </w:rPr>
        <w:t xml:space="preserve">elicited as a result of torture or other ill-treatment is not used as evidence in </w:t>
      </w:r>
      <w:r>
        <w:rPr>
          <w:rFonts w:ascii="Arial" w:hAnsi="Arial"/>
          <w:sz w:val="20"/>
          <w:lang w:val="en-GB"/>
        </w:rPr>
        <w:t>any</w:t>
      </w:r>
      <w:r>
        <w:rPr>
          <w:rStyle w:val="a9"/>
        </w:rPr>
        <w:t xml:space="preserve"> </w:t>
      </w:r>
      <w:r>
        <w:rPr>
          <w:rFonts w:ascii="Arial" w:hAnsi="Arial"/>
          <w:sz w:val="20"/>
          <w:lang w:val="de-DE"/>
        </w:rPr>
        <w:t xml:space="preserve">proceedings except those brought against the alleged perpetrators. </w:t>
      </w:r>
    </w:p>
    <w:p w:rsidR="00486BD5" w:rsidRPr="00C553BD" w:rsidRDefault="002228A8" w:rsidP="00557F39">
      <w:pPr>
        <w:numPr>
          <w:ilvl w:val="0"/>
          <w:numId w:val="2"/>
        </w:numPr>
        <w:jc w:val="both"/>
        <w:rPr>
          <w:rFonts w:ascii="Arial" w:hAnsi="Arial"/>
          <w:sz w:val="20"/>
          <w:lang w:val="en-GB"/>
        </w:rPr>
      </w:pPr>
      <w:r w:rsidRPr="002228A8">
        <w:rPr>
          <w:rFonts w:ascii="Arial" w:hAnsi="Arial"/>
          <w:sz w:val="20"/>
          <w:lang w:val="de-DE"/>
        </w:rPr>
        <w:t xml:space="preserve">Ratify the </w:t>
      </w:r>
      <w:r w:rsidR="00486BD5" w:rsidRPr="002228A8">
        <w:rPr>
          <w:rFonts w:ascii="Arial" w:hAnsi="Arial"/>
          <w:sz w:val="20"/>
          <w:lang w:val="en-GB"/>
        </w:rPr>
        <w:t xml:space="preserve">Optional Protocol to the Convention and establish an effective </w:t>
      </w:r>
      <w:r>
        <w:rPr>
          <w:rFonts w:ascii="Arial" w:hAnsi="Arial"/>
          <w:sz w:val="20"/>
          <w:lang w:val="en-GB"/>
        </w:rPr>
        <w:t xml:space="preserve">National Preventative Mechanism. </w:t>
      </w:r>
      <w:r w:rsidR="004730E9">
        <w:rPr>
          <w:rFonts w:ascii="Arial" w:hAnsi="Arial"/>
          <w:sz w:val="20"/>
          <w:lang w:val="en-GB"/>
        </w:rPr>
        <w:t xml:space="preserve">In the meantime, unimpeded access should be granted to the International Committee of the Red Cross and </w:t>
      </w:r>
      <w:r w:rsidR="00250F90" w:rsidRPr="00250F90">
        <w:rPr>
          <w:rFonts w:ascii="Arial" w:hAnsi="Arial"/>
          <w:sz w:val="20"/>
        </w:rPr>
        <w:t>expert independent NGOs working to prevent torture i</w:t>
      </w:r>
      <w:r w:rsidR="00250F90">
        <w:rPr>
          <w:rFonts w:ascii="Arial" w:hAnsi="Arial"/>
          <w:sz w:val="20"/>
        </w:rPr>
        <w:t>n Tajikistan,</w:t>
      </w:r>
      <w:r w:rsidR="00250F90" w:rsidRPr="00250F90">
        <w:rPr>
          <w:rFonts w:ascii="Arial" w:hAnsi="Arial"/>
          <w:sz w:val="20"/>
        </w:rPr>
        <w:t xml:space="preserve"> such as members of the </w:t>
      </w:r>
      <w:r w:rsidR="00250F90">
        <w:rPr>
          <w:rFonts w:ascii="Arial" w:hAnsi="Arial"/>
          <w:sz w:val="20"/>
        </w:rPr>
        <w:t xml:space="preserve">NGO </w:t>
      </w:r>
      <w:r w:rsidR="00250F90" w:rsidRPr="00250F90">
        <w:rPr>
          <w:rFonts w:ascii="Arial" w:hAnsi="Arial"/>
          <w:sz w:val="20"/>
        </w:rPr>
        <w:t>Coalition</w:t>
      </w:r>
      <w:r w:rsidR="00250F90">
        <w:rPr>
          <w:rFonts w:ascii="Arial" w:hAnsi="Arial"/>
          <w:sz w:val="20"/>
        </w:rPr>
        <w:t xml:space="preserve"> against Torture in Tajikistan,</w:t>
      </w:r>
      <w:r w:rsidR="00486BD5" w:rsidRPr="004730E9">
        <w:rPr>
          <w:rFonts w:ascii="Arial" w:hAnsi="Arial"/>
          <w:sz w:val="20"/>
          <w:lang w:val="en-GB"/>
        </w:rPr>
        <w:t xml:space="preserve"> to all places of detention.</w:t>
      </w:r>
    </w:p>
    <w:p w:rsidR="00557F39" w:rsidRDefault="00557F39" w:rsidP="00557F39">
      <w:pPr>
        <w:jc w:val="both"/>
        <w:rPr>
          <w:rFonts w:ascii="Arial" w:hAnsi="Arial"/>
          <w:bCs/>
          <w:color w:val="E36C0A" w:themeColor="accent6" w:themeShade="BF"/>
          <w:sz w:val="20"/>
          <w:lang w:val="en-GB"/>
        </w:rPr>
      </w:pPr>
    </w:p>
    <w:p w:rsidR="00677CC4" w:rsidRDefault="00677CC4" w:rsidP="00557F39">
      <w:pPr>
        <w:jc w:val="both"/>
        <w:rPr>
          <w:rFonts w:ascii="Arial" w:hAnsi="Arial"/>
          <w:b/>
          <w:sz w:val="20"/>
          <w:lang w:val="fr-FR"/>
        </w:rPr>
      </w:pPr>
      <w:r w:rsidRPr="00677CC4">
        <w:rPr>
          <w:rFonts w:ascii="Arial" w:hAnsi="Arial"/>
          <w:b/>
          <w:sz w:val="20"/>
          <w:lang w:val="fr-FR"/>
        </w:rPr>
        <w:t>Ending impunity</w:t>
      </w:r>
    </w:p>
    <w:p w:rsidR="00AB57A9" w:rsidRDefault="00AB57A9" w:rsidP="004620BB">
      <w:pPr>
        <w:numPr>
          <w:ilvl w:val="0"/>
          <w:numId w:val="2"/>
        </w:numPr>
        <w:jc w:val="both"/>
        <w:rPr>
          <w:rFonts w:ascii="Arial" w:hAnsi="Arial"/>
          <w:sz w:val="20"/>
        </w:rPr>
      </w:pPr>
      <w:r>
        <w:rPr>
          <w:rFonts w:ascii="Arial" w:hAnsi="Arial"/>
          <w:sz w:val="20"/>
        </w:rPr>
        <w:t>Legislate that perpetrators of torture or other ill-treatment (including hazing in the army) are excluded from prisoner amnesties and abolish the statute of limitation</w:t>
      </w:r>
      <w:r w:rsidR="00695416">
        <w:rPr>
          <w:rFonts w:ascii="Arial" w:hAnsi="Arial"/>
          <w:sz w:val="20"/>
        </w:rPr>
        <w:t>s</w:t>
      </w:r>
      <w:r>
        <w:rPr>
          <w:rFonts w:ascii="Arial" w:hAnsi="Arial"/>
          <w:sz w:val="20"/>
        </w:rPr>
        <w:t xml:space="preserve"> with regard to such crimes.</w:t>
      </w:r>
    </w:p>
    <w:p w:rsidR="004620BB" w:rsidRDefault="004620BB" w:rsidP="004620BB">
      <w:pPr>
        <w:numPr>
          <w:ilvl w:val="0"/>
          <w:numId w:val="2"/>
        </w:numPr>
        <w:jc w:val="both"/>
        <w:rPr>
          <w:rFonts w:ascii="Arial" w:hAnsi="Arial"/>
          <w:sz w:val="20"/>
        </w:rPr>
      </w:pPr>
      <w:r>
        <w:rPr>
          <w:rFonts w:ascii="Arial" w:hAnsi="Arial"/>
          <w:sz w:val="20"/>
        </w:rPr>
        <w:t xml:space="preserve">Promptly act on all complaints involving allegations of torture and ill-treatment by initiating thorough, impartial and independent investigations, </w:t>
      </w:r>
      <w:r w:rsidR="00234806">
        <w:rPr>
          <w:rFonts w:ascii="Arial" w:hAnsi="Arial"/>
          <w:sz w:val="20"/>
        </w:rPr>
        <w:t>bringing to justice in a fair trial</w:t>
      </w:r>
      <w:r>
        <w:rPr>
          <w:rFonts w:ascii="Arial" w:hAnsi="Arial"/>
          <w:sz w:val="20"/>
        </w:rPr>
        <w:t xml:space="preserve"> those found responsible, providing adequate and full compensation to torture victims, and reporting on the measures taken in the mass media.</w:t>
      </w:r>
    </w:p>
    <w:p w:rsidR="006E0F61" w:rsidRDefault="004620BB" w:rsidP="004620BB">
      <w:pPr>
        <w:numPr>
          <w:ilvl w:val="0"/>
          <w:numId w:val="2"/>
        </w:numPr>
        <w:jc w:val="both"/>
        <w:rPr>
          <w:rFonts w:ascii="Arial" w:hAnsi="Arial"/>
          <w:sz w:val="20"/>
        </w:rPr>
      </w:pPr>
      <w:r w:rsidRPr="00AA6A3B">
        <w:rPr>
          <w:rFonts w:ascii="Arial" w:hAnsi="Arial"/>
          <w:sz w:val="20"/>
        </w:rPr>
        <w:t xml:space="preserve">Introduce legislation </w:t>
      </w:r>
      <w:r>
        <w:rPr>
          <w:rFonts w:ascii="Arial" w:hAnsi="Arial"/>
          <w:sz w:val="20"/>
        </w:rPr>
        <w:t>to create</w:t>
      </w:r>
      <w:r w:rsidRPr="00AA6A3B">
        <w:rPr>
          <w:rFonts w:ascii="Arial" w:hAnsi="Arial"/>
          <w:sz w:val="20"/>
        </w:rPr>
        <w:t xml:space="preserve"> </w:t>
      </w:r>
      <w:r>
        <w:rPr>
          <w:rFonts w:ascii="Arial" w:hAnsi="Arial"/>
          <w:sz w:val="20"/>
        </w:rPr>
        <w:t xml:space="preserve">and fund </w:t>
      </w:r>
      <w:r w:rsidRPr="00AA6A3B">
        <w:rPr>
          <w:rFonts w:ascii="Arial" w:hAnsi="Arial"/>
          <w:sz w:val="20"/>
        </w:rPr>
        <w:t>an independent body endowed with sufficient authority and competence to conduct prompt, thorough and independent investigations into allegations of torture or other ill-treatment.</w:t>
      </w:r>
    </w:p>
    <w:p w:rsidR="00AB7DA5" w:rsidRDefault="006E0F61" w:rsidP="004620BB">
      <w:pPr>
        <w:numPr>
          <w:ilvl w:val="0"/>
          <w:numId w:val="2"/>
        </w:numPr>
        <w:jc w:val="both"/>
        <w:rPr>
          <w:rFonts w:ascii="Arial" w:hAnsi="Arial"/>
          <w:sz w:val="20"/>
        </w:rPr>
      </w:pPr>
      <w:r>
        <w:rPr>
          <w:rFonts w:ascii="Arial" w:hAnsi="Arial"/>
          <w:sz w:val="20"/>
          <w:lang w:val="en-GB"/>
        </w:rPr>
        <w:t>E</w:t>
      </w:r>
      <w:r w:rsidRPr="007E3214">
        <w:rPr>
          <w:rFonts w:ascii="Arial" w:hAnsi="Arial"/>
          <w:sz w:val="20"/>
          <w:lang w:val="en-GB"/>
        </w:rPr>
        <w:t>nsure that there are clear provisions in the domestic legislation on the right of torture victims to redress, including fair and adequate compensation and rehabilitation</w:t>
      </w:r>
      <w:r>
        <w:rPr>
          <w:rFonts w:ascii="Arial" w:hAnsi="Arial"/>
          <w:sz w:val="20"/>
          <w:lang w:val="en-GB"/>
        </w:rPr>
        <w:t xml:space="preserve"> for damages caused by torture and</w:t>
      </w:r>
      <w:r w:rsidRPr="007E3214">
        <w:rPr>
          <w:rFonts w:ascii="Arial" w:hAnsi="Arial"/>
          <w:sz w:val="20"/>
          <w:lang w:val="en-GB"/>
        </w:rPr>
        <w:t xml:space="preserve"> provide all victims of torture</w:t>
      </w:r>
      <w:r>
        <w:rPr>
          <w:rFonts w:ascii="Arial" w:hAnsi="Arial"/>
          <w:sz w:val="20"/>
          <w:lang w:val="en-GB"/>
        </w:rPr>
        <w:t xml:space="preserve"> or ill-treatment with redress </w:t>
      </w:r>
      <w:r w:rsidRPr="007E3214">
        <w:rPr>
          <w:rFonts w:ascii="Arial" w:hAnsi="Arial"/>
          <w:sz w:val="20"/>
          <w:lang w:val="en-GB"/>
        </w:rPr>
        <w:t>and as full rehabilitation as possible regardless of whether perpetrators of such acts have been brought to justice</w:t>
      </w:r>
      <w:r>
        <w:rPr>
          <w:rFonts w:ascii="Arial" w:hAnsi="Arial"/>
          <w:sz w:val="20"/>
          <w:lang w:val="en-GB"/>
        </w:rPr>
        <w:t xml:space="preserve">, in line with Recommendation No. 21 </w:t>
      </w:r>
      <w:r>
        <w:rPr>
          <w:rFonts w:ascii="Arial" w:hAnsi="Arial"/>
          <w:sz w:val="20"/>
        </w:rPr>
        <w:t>made by the Committee against Torture as part of its concluding observations issued in 2012.</w:t>
      </w:r>
    </w:p>
    <w:p w:rsidR="00AB7DA5" w:rsidRDefault="00AB7DA5" w:rsidP="00AB7DA5">
      <w:pPr>
        <w:jc w:val="both"/>
        <w:rPr>
          <w:rFonts w:ascii="Arial" w:hAnsi="Arial"/>
          <w:sz w:val="20"/>
        </w:rPr>
      </w:pPr>
    </w:p>
    <w:p w:rsidR="00AB7DA5" w:rsidRPr="00AB7DA5" w:rsidRDefault="00AB7DA5" w:rsidP="00AB7DA5">
      <w:pPr>
        <w:jc w:val="both"/>
        <w:rPr>
          <w:rFonts w:ascii="Arial" w:hAnsi="Arial"/>
          <w:b/>
          <w:sz w:val="20"/>
        </w:rPr>
      </w:pPr>
      <w:r w:rsidRPr="00AB7DA5">
        <w:rPr>
          <w:rFonts w:ascii="Arial" w:hAnsi="Arial"/>
          <w:b/>
          <w:sz w:val="20"/>
        </w:rPr>
        <w:t>Ending hazing in the army</w:t>
      </w:r>
    </w:p>
    <w:p w:rsidR="00856B0E" w:rsidRDefault="00856B0E" w:rsidP="00A934C4">
      <w:pPr>
        <w:pStyle w:val="ae"/>
        <w:numPr>
          <w:ilvl w:val="0"/>
          <w:numId w:val="8"/>
        </w:numPr>
        <w:jc w:val="both"/>
        <w:rPr>
          <w:rFonts w:ascii="Arial" w:hAnsi="Arial"/>
          <w:sz w:val="20"/>
        </w:rPr>
      </w:pPr>
      <w:r>
        <w:rPr>
          <w:rFonts w:ascii="Arial" w:hAnsi="Arial"/>
          <w:sz w:val="20"/>
        </w:rPr>
        <w:t>Publish comprehensive statistic</w:t>
      </w:r>
      <w:r w:rsidR="00956C42">
        <w:rPr>
          <w:rFonts w:ascii="Arial" w:hAnsi="Arial"/>
          <w:sz w:val="20"/>
        </w:rPr>
        <w:t>s on complaints, investigations,</w:t>
      </w:r>
      <w:r>
        <w:rPr>
          <w:rFonts w:ascii="Arial" w:hAnsi="Arial"/>
          <w:sz w:val="20"/>
        </w:rPr>
        <w:t xml:space="preserve"> prosecutions</w:t>
      </w:r>
      <w:r w:rsidR="00956C42">
        <w:rPr>
          <w:rFonts w:ascii="Arial" w:hAnsi="Arial"/>
          <w:sz w:val="20"/>
        </w:rPr>
        <w:t xml:space="preserve"> and convictions</w:t>
      </w:r>
      <w:r>
        <w:rPr>
          <w:rFonts w:ascii="Arial" w:hAnsi="Arial"/>
          <w:sz w:val="20"/>
        </w:rPr>
        <w:t xml:space="preserve"> relating to hazing or other ill-treatment in the army.</w:t>
      </w:r>
    </w:p>
    <w:p w:rsidR="003A5B94" w:rsidRPr="003A5B94" w:rsidRDefault="00477D7F" w:rsidP="00A934C4">
      <w:pPr>
        <w:pStyle w:val="ae"/>
        <w:numPr>
          <w:ilvl w:val="0"/>
          <w:numId w:val="8"/>
        </w:numPr>
        <w:jc w:val="both"/>
        <w:rPr>
          <w:rFonts w:ascii="Arial" w:hAnsi="Arial"/>
          <w:sz w:val="20"/>
        </w:rPr>
      </w:pPr>
      <w:r>
        <w:rPr>
          <w:rFonts w:ascii="Arial" w:hAnsi="Arial"/>
          <w:sz w:val="20"/>
        </w:rPr>
        <w:t xml:space="preserve">Ensure prompt, thorough and impartial investigations into all allegations of hazing and other ill-treatment in the army. </w:t>
      </w:r>
      <w:r w:rsidR="001A3043">
        <w:rPr>
          <w:rFonts w:ascii="Arial" w:hAnsi="Arial"/>
          <w:sz w:val="20"/>
        </w:rPr>
        <w:t xml:space="preserve">Establish </w:t>
      </w:r>
      <w:r w:rsidR="001A3043" w:rsidRPr="00BA76CB">
        <w:rPr>
          <w:rFonts w:ascii="Arial" w:hAnsi="Arial" w:cs="Helvetica"/>
          <w:sz w:val="20"/>
          <w:lang w:val="en-GB"/>
        </w:rPr>
        <w:t>the liability of direct perpetrators and those in the chain of command</w:t>
      </w:r>
      <w:r w:rsidR="001A3043">
        <w:rPr>
          <w:rFonts w:ascii="Arial" w:hAnsi="Arial" w:cs="Helvetica"/>
          <w:sz w:val="20"/>
          <w:lang w:val="en-GB"/>
        </w:rPr>
        <w:t xml:space="preserve"> (where evidence of hazing is found and) </w:t>
      </w:r>
      <w:r w:rsidR="001A3043" w:rsidRPr="00BA76CB">
        <w:rPr>
          <w:rFonts w:ascii="Arial" w:hAnsi="Arial" w:cs="Helvetica"/>
          <w:sz w:val="20"/>
          <w:lang w:val="en-GB"/>
        </w:rPr>
        <w:t>prosecute and punish those responsible with penalties that are consistent with the gravity of the act committed, make the results of such investigations public, and provide compensation and full rehabilitation to victims, including through appropriate medical and psychological assistance</w:t>
      </w:r>
      <w:r w:rsidR="001A3043">
        <w:rPr>
          <w:rFonts w:ascii="Arial" w:hAnsi="Arial"/>
          <w:sz w:val="20"/>
        </w:rPr>
        <w:t>, i</w:t>
      </w:r>
      <w:r>
        <w:rPr>
          <w:rFonts w:ascii="Arial" w:hAnsi="Arial"/>
          <w:sz w:val="20"/>
        </w:rPr>
        <w:t xml:space="preserve">n line with </w:t>
      </w:r>
      <w:r w:rsidR="001A3043">
        <w:rPr>
          <w:rFonts w:ascii="Arial" w:hAnsi="Arial"/>
          <w:sz w:val="20"/>
        </w:rPr>
        <w:t>Recommendation</w:t>
      </w:r>
      <w:r>
        <w:rPr>
          <w:rFonts w:ascii="Arial" w:hAnsi="Arial"/>
          <w:sz w:val="20"/>
        </w:rPr>
        <w:t xml:space="preserve"> </w:t>
      </w:r>
      <w:r w:rsidR="001A3043">
        <w:rPr>
          <w:rFonts w:ascii="Arial" w:hAnsi="Arial"/>
          <w:sz w:val="20"/>
        </w:rPr>
        <w:t>No. 12</w:t>
      </w:r>
      <w:r>
        <w:rPr>
          <w:rFonts w:ascii="Arial" w:hAnsi="Arial"/>
          <w:sz w:val="20"/>
        </w:rPr>
        <w:t xml:space="preserve"> </w:t>
      </w:r>
      <w:r w:rsidR="001A3043">
        <w:rPr>
          <w:rFonts w:ascii="Arial" w:hAnsi="Arial"/>
          <w:sz w:val="20"/>
        </w:rPr>
        <w:t xml:space="preserve">made </w:t>
      </w:r>
      <w:r>
        <w:rPr>
          <w:rFonts w:ascii="Arial" w:hAnsi="Arial"/>
          <w:sz w:val="20"/>
        </w:rPr>
        <w:t xml:space="preserve">by the Committee against Torture </w:t>
      </w:r>
      <w:r w:rsidR="001A3043">
        <w:rPr>
          <w:rFonts w:ascii="Arial" w:hAnsi="Arial"/>
          <w:sz w:val="20"/>
        </w:rPr>
        <w:t xml:space="preserve">as part of its concluding observations </w:t>
      </w:r>
      <w:r>
        <w:rPr>
          <w:rFonts w:ascii="Arial" w:hAnsi="Arial"/>
          <w:sz w:val="20"/>
        </w:rPr>
        <w:t>issued in 2012</w:t>
      </w:r>
      <w:r w:rsidR="001A3043">
        <w:rPr>
          <w:rFonts w:ascii="Arial" w:hAnsi="Arial"/>
          <w:sz w:val="20"/>
        </w:rPr>
        <w:t>.</w:t>
      </w:r>
    </w:p>
    <w:p w:rsidR="00275C33" w:rsidRPr="00275C33" w:rsidRDefault="003A5B94" w:rsidP="00A934C4">
      <w:pPr>
        <w:pStyle w:val="ae"/>
        <w:numPr>
          <w:ilvl w:val="0"/>
          <w:numId w:val="8"/>
        </w:numPr>
        <w:jc w:val="both"/>
        <w:rPr>
          <w:rFonts w:ascii="Arial" w:hAnsi="Arial"/>
          <w:sz w:val="20"/>
        </w:rPr>
      </w:pPr>
      <w:r>
        <w:rPr>
          <w:rFonts w:ascii="Arial" w:hAnsi="Arial" w:cs="Helvetica"/>
          <w:sz w:val="20"/>
          <w:lang w:val="en-GB"/>
        </w:rPr>
        <w:t>Allow independent and unlimited public monitoring of conscription commissions and military units.</w:t>
      </w:r>
    </w:p>
    <w:p w:rsidR="00A934C4" w:rsidRPr="00A934C4" w:rsidRDefault="00275C33" w:rsidP="00A934C4">
      <w:pPr>
        <w:pStyle w:val="ae"/>
        <w:numPr>
          <w:ilvl w:val="0"/>
          <w:numId w:val="8"/>
        </w:numPr>
        <w:jc w:val="both"/>
        <w:rPr>
          <w:rFonts w:ascii="Arial" w:hAnsi="Arial"/>
          <w:sz w:val="20"/>
        </w:rPr>
      </w:pPr>
      <w:r>
        <w:rPr>
          <w:rFonts w:ascii="Arial" w:hAnsi="Arial" w:cs="Helvetica"/>
          <w:sz w:val="20"/>
          <w:lang w:val="en-GB"/>
        </w:rPr>
        <w:t xml:space="preserve">Train </w:t>
      </w:r>
      <w:r w:rsidR="003635CC">
        <w:rPr>
          <w:rFonts w:ascii="Arial" w:hAnsi="Arial" w:cs="Helvetica"/>
          <w:sz w:val="20"/>
          <w:lang w:val="en-GB"/>
        </w:rPr>
        <w:t xml:space="preserve">soldiers and </w:t>
      </w:r>
      <w:r>
        <w:rPr>
          <w:rFonts w:ascii="Arial" w:hAnsi="Arial" w:cs="Helvetica"/>
          <w:sz w:val="20"/>
          <w:lang w:val="en-GB"/>
        </w:rPr>
        <w:t>officers on human rights standards</w:t>
      </w:r>
      <w:r w:rsidR="005A7F54">
        <w:rPr>
          <w:rFonts w:ascii="Arial" w:hAnsi="Arial" w:cs="Helvetica"/>
          <w:sz w:val="20"/>
          <w:lang w:val="en-GB"/>
        </w:rPr>
        <w:t>, in particular those prohibiting</w:t>
      </w:r>
      <w:r w:rsidR="00790EEF">
        <w:rPr>
          <w:rFonts w:ascii="Arial" w:hAnsi="Arial" w:cs="Helvetica"/>
          <w:sz w:val="20"/>
          <w:lang w:val="en-GB"/>
        </w:rPr>
        <w:t xml:space="preserve"> hazing and other forms of torture or other ill-treatment.</w:t>
      </w:r>
    </w:p>
    <w:p w:rsidR="00DD221C" w:rsidRPr="00677CC4" w:rsidRDefault="00DD221C" w:rsidP="00557F39">
      <w:pPr>
        <w:jc w:val="both"/>
        <w:rPr>
          <w:rFonts w:ascii="Arial" w:hAnsi="Arial"/>
          <w:b/>
          <w:sz w:val="20"/>
          <w:lang w:val="fr-FR"/>
        </w:rPr>
      </w:pPr>
    </w:p>
    <w:sectPr w:rsidR="00DD221C" w:rsidRPr="00677CC4" w:rsidSect="00544D20">
      <w:footerReference w:type="even" r:id="rId17"/>
      <w:footerReference w:type="default" r:id="rId18"/>
      <w:pgSz w:w="11900" w:h="16840"/>
      <w:pgMar w:top="1417" w:right="1417" w:bottom="1134" w:left="1417"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81353" w15:done="0"/>
  <w15:commentEx w15:paraId="7E6A38EE" w15:done="0"/>
  <w15:commentEx w15:paraId="4C170450" w15:done="0"/>
  <w15:commentEx w15:paraId="2A0D42A9" w15:done="0"/>
  <w15:commentEx w15:paraId="59C31FD0" w15:done="0"/>
  <w15:commentEx w15:paraId="2DA86746" w15:done="0"/>
  <w15:commentEx w15:paraId="308EB3CF" w15:done="0"/>
  <w15:commentEx w15:paraId="6D94DBB2" w15:done="0"/>
  <w15:commentEx w15:paraId="02BD3128" w15:done="0"/>
  <w15:commentEx w15:paraId="2F1377D1" w15:done="0"/>
  <w15:commentEx w15:paraId="18E84DD2" w15:done="0"/>
  <w15:commentEx w15:paraId="22FE20F2" w15:done="0"/>
  <w15:commentEx w15:paraId="0A42AB79" w15:done="0"/>
  <w15:commentEx w15:paraId="3AB90657" w15:done="0"/>
  <w15:commentEx w15:paraId="67351916" w15:done="0"/>
  <w15:commentEx w15:paraId="7B1046E4" w15:done="0"/>
  <w15:commentEx w15:paraId="3A7C9A3B" w15:done="0"/>
  <w15:commentEx w15:paraId="59359795" w15:done="0"/>
  <w15:commentEx w15:paraId="78051A46" w15:done="0"/>
  <w15:commentEx w15:paraId="53F93C69" w15:done="0"/>
  <w15:commentEx w15:paraId="1B8F673B" w15:done="0"/>
  <w15:commentEx w15:paraId="6778092A" w15:done="0"/>
  <w15:commentEx w15:paraId="03047C15" w15:done="0"/>
  <w15:commentEx w15:paraId="5E18F3B7" w15:done="0"/>
  <w15:commentEx w15:paraId="7E4A9543" w15:done="0"/>
  <w15:commentEx w15:paraId="7AAD1FFF" w15:done="0"/>
  <w15:commentEx w15:paraId="5EB171E5" w15:done="0"/>
  <w15:commentEx w15:paraId="4007F0FC" w15:done="0"/>
  <w15:commentEx w15:paraId="586B4C8F" w15:done="0"/>
  <w15:commentEx w15:paraId="2764F925" w15:done="0"/>
  <w15:commentEx w15:paraId="06F5B610" w15:done="0"/>
  <w15:commentEx w15:paraId="1B564AD9" w15:done="0"/>
  <w15:commentEx w15:paraId="588221CD" w15:done="0"/>
  <w15:commentEx w15:paraId="6231CB6B" w15:done="0"/>
  <w15:commentEx w15:paraId="7E27702E" w15:done="0"/>
  <w15:commentEx w15:paraId="70B9DF14" w15:done="0"/>
  <w15:commentEx w15:paraId="30EB37A6" w15:done="0"/>
  <w15:commentEx w15:paraId="7F0250BD" w15:done="0"/>
  <w15:commentEx w15:paraId="0FA4621E" w15:done="0"/>
  <w15:commentEx w15:paraId="6FE273A4" w15:done="0"/>
  <w15:commentEx w15:paraId="4CEF26D7" w15:done="0"/>
  <w15:commentEx w15:paraId="0E2105A2" w15:done="0"/>
  <w15:commentEx w15:paraId="2B55B318" w15:done="0"/>
  <w15:commentEx w15:paraId="11C476CA" w15:done="0"/>
  <w15:commentEx w15:paraId="64660246" w15:done="0"/>
  <w15:commentEx w15:paraId="2F72CEE1" w15:done="0"/>
  <w15:commentEx w15:paraId="280654B3" w15:done="0"/>
  <w15:commentEx w15:paraId="390DD968" w15:done="0"/>
  <w15:commentEx w15:paraId="1DE7434C" w15:done="0"/>
  <w15:commentEx w15:paraId="635A4332" w15:done="0"/>
  <w15:commentEx w15:paraId="18D0BBE5" w15:done="0"/>
  <w15:commentEx w15:paraId="57F59931" w15:done="0"/>
  <w15:commentEx w15:paraId="479268D2" w15:done="0"/>
  <w15:commentEx w15:paraId="03C2DBC5" w15:done="0"/>
  <w15:commentEx w15:paraId="6EC34A6C" w15:done="0"/>
  <w15:commentEx w15:paraId="070E4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C5" w:rsidRDefault="007224C5">
      <w:r>
        <w:separator/>
      </w:r>
    </w:p>
  </w:endnote>
  <w:endnote w:type="continuationSeparator" w:id="0">
    <w:p w:rsidR="007224C5" w:rsidRDefault="0072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0" w:rsidRDefault="00F351AD" w:rsidP="00F0606B">
    <w:pPr>
      <w:pStyle w:val="af2"/>
      <w:framePr w:wrap="around" w:vAnchor="text" w:hAnchor="margin" w:xAlign="center" w:y="1"/>
      <w:rPr>
        <w:rStyle w:val="af5"/>
      </w:rPr>
    </w:pPr>
    <w:r>
      <w:rPr>
        <w:rStyle w:val="af5"/>
      </w:rPr>
      <w:fldChar w:fldCharType="begin"/>
    </w:r>
    <w:r w:rsidR="00F721D0">
      <w:rPr>
        <w:rStyle w:val="af5"/>
      </w:rPr>
      <w:instrText xml:space="preserve">PAGE  </w:instrText>
    </w:r>
    <w:r>
      <w:rPr>
        <w:rStyle w:val="af5"/>
      </w:rPr>
      <w:fldChar w:fldCharType="end"/>
    </w:r>
  </w:p>
  <w:p w:rsidR="00F721D0" w:rsidRDefault="00F721D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0" w:rsidRPr="00544D20" w:rsidRDefault="00F351AD" w:rsidP="00F0606B">
    <w:pPr>
      <w:pStyle w:val="af2"/>
      <w:framePr w:wrap="around" w:vAnchor="text" w:hAnchor="margin" w:xAlign="center" w:y="1"/>
      <w:rPr>
        <w:rStyle w:val="af5"/>
      </w:rPr>
    </w:pPr>
    <w:r w:rsidRPr="00544D20">
      <w:rPr>
        <w:rStyle w:val="af5"/>
        <w:rFonts w:ascii="Arial" w:hAnsi="Arial"/>
        <w:sz w:val="18"/>
      </w:rPr>
      <w:fldChar w:fldCharType="begin"/>
    </w:r>
    <w:r w:rsidR="00F721D0" w:rsidRPr="00544D20">
      <w:rPr>
        <w:rStyle w:val="af5"/>
        <w:rFonts w:ascii="Arial" w:hAnsi="Arial"/>
        <w:sz w:val="18"/>
      </w:rPr>
      <w:instrText xml:space="preserve">PAGE  </w:instrText>
    </w:r>
    <w:r w:rsidRPr="00544D20">
      <w:rPr>
        <w:rStyle w:val="af5"/>
        <w:rFonts w:ascii="Arial" w:hAnsi="Arial"/>
        <w:sz w:val="18"/>
      </w:rPr>
      <w:fldChar w:fldCharType="separate"/>
    </w:r>
    <w:r w:rsidR="000B1A7D">
      <w:rPr>
        <w:rStyle w:val="af5"/>
        <w:rFonts w:ascii="Arial" w:hAnsi="Arial"/>
        <w:noProof/>
        <w:sz w:val="18"/>
      </w:rPr>
      <w:t>2</w:t>
    </w:r>
    <w:r w:rsidRPr="00544D20">
      <w:rPr>
        <w:rStyle w:val="af5"/>
        <w:rFonts w:ascii="Arial" w:hAnsi="Arial"/>
        <w:sz w:val="18"/>
      </w:rPr>
      <w:fldChar w:fldCharType="end"/>
    </w:r>
  </w:p>
  <w:p w:rsidR="00F721D0" w:rsidRDefault="00F721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C5" w:rsidRDefault="007224C5">
      <w:r>
        <w:separator/>
      </w:r>
    </w:p>
  </w:footnote>
  <w:footnote w:type="continuationSeparator" w:id="0">
    <w:p w:rsidR="007224C5" w:rsidRDefault="007224C5">
      <w:r>
        <w:continuationSeparator/>
      </w:r>
    </w:p>
  </w:footnote>
  <w:footnote w:id="1">
    <w:p w:rsidR="00F721D0" w:rsidRPr="00A500C1" w:rsidRDefault="00F721D0">
      <w:pPr>
        <w:pStyle w:val="a5"/>
        <w:rPr>
          <w:rFonts w:ascii="Arial" w:hAnsi="Arial"/>
          <w:sz w:val="18"/>
        </w:rPr>
      </w:pPr>
      <w:r w:rsidRPr="00A500C1">
        <w:rPr>
          <w:rStyle w:val="a7"/>
          <w:rFonts w:ascii="Arial" w:hAnsi="Arial"/>
          <w:sz w:val="18"/>
        </w:rPr>
        <w:footnoteRef/>
      </w:r>
      <w:r w:rsidRPr="00A500C1">
        <w:rPr>
          <w:rFonts w:ascii="Arial" w:hAnsi="Arial"/>
          <w:sz w:val="18"/>
        </w:rPr>
        <w:t xml:space="preserve"> Refer to: </w:t>
      </w:r>
      <w:hyperlink r:id="rId1" w:history="1">
        <w:r w:rsidRPr="00A500C1">
          <w:rPr>
            <w:rStyle w:val="af"/>
            <w:rFonts w:ascii="Arial" w:hAnsi="Arial"/>
            <w:sz w:val="18"/>
          </w:rPr>
          <w:t>http://www.ohchr.org/Documents/Issues/SRTorture/A-HRC-22-53-Add1_en.pdf</w:t>
        </w:r>
      </w:hyperlink>
      <w:r w:rsidRPr="00A500C1">
        <w:rPr>
          <w:rFonts w:ascii="Arial" w:hAnsi="Arial"/>
          <w:sz w:val="18"/>
        </w:rPr>
        <w:t xml:space="preserve"> </w:t>
      </w:r>
    </w:p>
  </w:footnote>
  <w:footnote w:id="2">
    <w:p w:rsidR="00F721D0" w:rsidRPr="00D66002" w:rsidRDefault="00F721D0">
      <w:pPr>
        <w:pStyle w:val="a5"/>
        <w:rPr>
          <w:rFonts w:ascii="Arial" w:hAnsi="Arial"/>
          <w:sz w:val="18"/>
        </w:rPr>
      </w:pPr>
      <w:r w:rsidRPr="00D66002">
        <w:rPr>
          <w:rStyle w:val="a7"/>
          <w:rFonts w:ascii="Arial" w:hAnsi="Arial"/>
          <w:sz w:val="18"/>
        </w:rPr>
        <w:footnoteRef/>
      </w:r>
      <w:r w:rsidRPr="00D66002">
        <w:rPr>
          <w:rFonts w:ascii="Arial" w:hAnsi="Arial"/>
          <w:sz w:val="18"/>
        </w:rPr>
        <w:t xml:space="preserve"> Refer to: </w:t>
      </w:r>
      <w:hyperlink r:id="rId2" w:history="1">
        <w:r w:rsidRPr="00D66002">
          <w:rPr>
            <w:rStyle w:val="af"/>
            <w:rFonts w:ascii="Arial" w:hAnsi="Arial"/>
            <w:sz w:val="18"/>
          </w:rPr>
          <w:t>http://tbinternet.ohchr.org/_layouts/treatybodyexternal/Download.aspx?symbolno=CAT%2fC%2fTJK%2fCO%2f2&amp;Lang=en</w:t>
        </w:r>
      </w:hyperlink>
      <w:r w:rsidRPr="00D66002">
        <w:rPr>
          <w:rFonts w:ascii="Arial" w:hAnsi="Arial"/>
          <w:sz w:val="18"/>
        </w:rPr>
        <w:t xml:space="preserve"> </w:t>
      </w:r>
    </w:p>
  </w:footnote>
  <w:footnote w:id="3">
    <w:p w:rsidR="00F721D0" w:rsidRPr="00D66002" w:rsidRDefault="00F721D0">
      <w:pPr>
        <w:pStyle w:val="a5"/>
        <w:rPr>
          <w:rFonts w:ascii="Arial" w:hAnsi="Arial"/>
          <w:sz w:val="18"/>
        </w:rPr>
      </w:pPr>
      <w:r w:rsidRPr="00D66002">
        <w:rPr>
          <w:rStyle w:val="a7"/>
          <w:rFonts w:ascii="Arial" w:hAnsi="Arial"/>
          <w:sz w:val="18"/>
        </w:rPr>
        <w:footnoteRef/>
      </w:r>
      <w:r w:rsidRPr="00D66002">
        <w:rPr>
          <w:rFonts w:ascii="Arial" w:hAnsi="Arial"/>
          <w:sz w:val="18"/>
        </w:rPr>
        <w:t xml:space="preserve"> Refer to: </w:t>
      </w:r>
      <w:hyperlink r:id="rId3" w:history="1">
        <w:r w:rsidRPr="00D66002">
          <w:rPr>
            <w:rStyle w:val="af"/>
            <w:rFonts w:ascii="Arial" w:hAnsi="Arial"/>
            <w:sz w:val="18"/>
          </w:rPr>
          <w:t>http://tbinternet.ohchr.org/_layouts/treatybodyexternal/Download.aspx?symbolno=CCPR%2fC%2fTJK%2fCO%2f2&amp;Lang=en</w:t>
        </w:r>
      </w:hyperlink>
      <w:r w:rsidRPr="00D66002">
        <w:rPr>
          <w:rFonts w:ascii="Arial" w:hAnsi="Arial"/>
          <w:sz w:val="18"/>
        </w:rPr>
        <w:t xml:space="preserve"> </w:t>
      </w:r>
    </w:p>
  </w:footnote>
  <w:footnote w:id="4">
    <w:p w:rsidR="00434F32" w:rsidRPr="00D66002" w:rsidRDefault="00434F32" w:rsidP="00434F32">
      <w:pPr>
        <w:pStyle w:val="a5"/>
        <w:rPr>
          <w:rFonts w:ascii="Arial" w:hAnsi="Arial"/>
          <w:sz w:val="18"/>
        </w:rPr>
      </w:pPr>
      <w:r w:rsidRPr="00D66002">
        <w:rPr>
          <w:rStyle w:val="a7"/>
          <w:rFonts w:ascii="Arial" w:hAnsi="Arial"/>
          <w:sz w:val="18"/>
        </w:rPr>
        <w:footnoteRef/>
      </w:r>
      <w:r w:rsidRPr="00D66002">
        <w:rPr>
          <w:rFonts w:ascii="Arial" w:hAnsi="Arial"/>
          <w:sz w:val="18"/>
        </w:rPr>
        <w:t xml:space="preserve"> Refer to: </w:t>
      </w:r>
      <w:hyperlink r:id="rId4" w:history="1">
        <w:r w:rsidRPr="00D66002">
          <w:rPr>
            <w:rStyle w:val="af"/>
            <w:rFonts w:ascii="Arial" w:hAnsi="Arial"/>
            <w:sz w:val="18"/>
          </w:rPr>
          <w:t>http://www.amnesty.org/en/library/info/EUR60/004/2012/en</w:t>
        </w:r>
      </w:hyperlink>
      <w:r w:rsidRPr="00D66002">
        <w:rPr>
          <w:rFonts w:ascii="Arial" w:hAnsi="Arial"/>
          <w:sz w:val="18"/>
        </w:rPr>
        <w:t xml:space="preserve"> </w:t>
      </w:r>
    </w:p>
  </w:footnote>
  <w:footnote w:id="5">
    <w:p w:rsidR="00F721D0" w:rsidRPr="00D66002" w:rsidRDefault="00F721D0" w:rsidP="00317D78">
      <w:pPr>
        <w:pStyle w:val="a5"/>
        <w:rPr>
          <w:rFonts w:ascii="Arial" w:hAnsi="Arial"/>
          <w:sz w:val="18"/>
        </w:rPr>
      </w:pPr>
      <w:r w:rsidRPr="00D66002">
        <w:rPr>
          <w:rStyle w:val="a7"/>
          <w:rFonts w:ascii="Arial" w:hAnsi="Arial"/>
          <w:sz w:val="18"/>
        </w:rPr>
        <w:footnoteRef/>
      </w:r>
      <w:r w:rsidRPr="00D66002">
        <w:rPr>
          <w:rFonts w:ascii="Arial" w:hAnsi="Arial"/>
          <w:sz w:val="18"/>
        </w:rPr>
        <w:t xml:space="preserve"> For example: </w:t>
      </w:r>
      <w:hyperlink r:id="rId5" w:history="1">
        <w:r w:rsidRPr="00D66002">
          <w:rPr>
            <w:rStyle w:val="af"/>
            <w:rFonts w:ascii="Arial" w:hAnsi="Arial"/>
            <w:sz w:val="18"/>
          </w:rPr>
          <w:t>http://tbinternet.ohchr.org/_layouts/treatybodyexternal/Download.aspx?symbolno=INT%2fCAT%2fNGO%2fTJK%2f13028&amp;Lang=en</w:t>
        </w:r>
      </w:hyperlink>
      <w:r w:rsidRPr="00D66002">
        <w:rPr>
          <w:rFonts w:ascii="Arial" w:hAnsi="Arial"/>
          <w:sz w:val="18"/>
        </w:rPr>
        <w:t xml:space="preserve"> and </w:t>
      </w:r>
      <w:hyperlink r:id="rId6" w:history="1">
        <w:r w:rsidRPr="00D66002">
          <w:rPr>
            <w:rStyle w:val="af"/>
            <w:rFonts w:ascii="Arial" w:hAnsi="Arial"/>
            <w:sz w:val="18"/>
          </w:rPr>
          <w:t>http://tbinternet.ohchr.org/_layouts/treatybodyexternal/Download.aspx?symbolno=INT%2fCCPR%2fNGO%2fTJK%2f14620&amp;Lang=en</w:t>
        </w:r>
      </w:hyperlink>
      <w:r w:rsidRPr="00D66002">
        <w:rPr>
          <w:rFonts w:ascii="Arial" w:hAnsi="Arial"/>
          <w:sz w:val="18"/>
        </w:rPr>
        <w:t xml:space="preserve"> </w:t>
      </w:r>
    </w:p>
  </w:footnote>
  <w:footnote w:id="6">
    <w:p w:rsidR="00F721D0" w:rsidRPr="00800473" w:rsidRDefault="00F721D0" w:rsidP="00800473">
      <w:pPr>
        <w:pStyle w:val="a5"/>
        <w:rPr>
          <w:rFonts w:ascii="Arial" w:hAnsi="Arial"/>
          <w:sz w:val="18"/>
        </w:rPr>
      </w:pPr>
      <w:r w:rsidRPr="00800473">
        <w:rPr>
          <w:rStyle w:val="a7"/>
          <w:rFonts w:ascii="Arial" w:hAnsi="Arial"/>
          <w:sz w:val="18"/>
        </w:rPr>
        <w:footnoteRef/>
      </w:r>
      <w:r w:rsidRPr="00800473">
        <w:rPr>
          <w:rFonts w:ascii="Arial" w:hAnsi="Arial"/>
          <w:sz w:val="18"/>
        </w:rPr>
        <w:t xml:space="preserve"> </w:t>
      </w:r>
      <w:r>
        <w:rPr>
          <w:rFonts w:ascii="Arial" w:hAnsi="Arial"/>
          <w:sz w:val="18"/>
        </w:rPr>
        <w:t xml:space="preserve">Refer to: </w:t>
      </w:r>
      <w:r w:rsidRPr="00800473">
        <w:rPr>
          <w:rFonts w:ascii="Arial" w:hAnsi="Arial"/>
          <w:sz w:val="18"/>
          <w:lang w:val="de-DE"/>
        </w:rPr>
        <w:t>United Nations, Report of the Human Rights Committee, vol.1, 26 October 20</w:t>
      </w:r>
      <w:r w:rsidR="00563B52">
        <w:rPr>
          <w:rFonts w:ascii="Arial" w:hAnsi="Arial"/>
          <w:sz w:val="18"/>
          <w:lang w:val="de-DE"/>
        </w:rPr>
        <w:t xml:space="preserve">01, A/56/40, para. 86(18), p. 102 </w:t>
      </w:r>
      <w:r w:rsidRPr="00800473">
        <w:rPr>
          <w:rFonts w:ascii="Arial" w:hAnsi="Arial"/>
          <w:sz w:val="18"/>
          <w:lang w:val="de-DE"/>
        </w:rPr>
        <w:t>(referring to the Democratic People’</w:t>
      </w:r>
      <w:r>
        <w:rPr>
          <w:rFonts w:ascii="Arial" w:hAnsi="Arial"/>
          <w:sz w:val="18"/>
          <w:lang w:val="de-DE"/>
        </w:rPr>
        <w:t xml:space="preserve">s Republic </w:t>
      </w:r>
      <w:r w:rsidRPr="00800473">
        <w:rPr>
          <w:rFonts w:ascii="Arial" w:hAnsi="Arial"/>
          <w:sz w:val="18"/>
          <w:lang w:val="de-DE"/>
        </w:rPr>
        <w:t xml:space="preserve">of Korea), at: </w:t>
      </w:r>
      <w:hyperlink r:id="rId7" w:history="1">
        <w:r w:rsidRPr="00D45859">
          <w:rPr>
            <w:rStyle w:val="af"/>
            <w:rFonts w:ascii="Arial" w:hAnsi="Arial"/>
            <w:sz w:val="18"/>
            <w:lang w:val="de-DE"/>
          </w:rPr>
          <w:t>http://www.unhchr.ch/tbs/doc.nsf/385c2add1632f4a8c12565a9004dc311/a91dea9af2c00fa7c1256ace0055cab5/$FILE/G0144476.pdf</w:t>
        </w:r>
      </w:hyperlink>
      <w:r>
        <w:rPr>
          <w:rFonts w:ascii="Arial" w:hAnsi="Arial"/>
          <w:sz w:val="18"/>
          <w:lang w:val="de-DE"/>
        </w:rPr>
        <w:t xml:space="preserve"> and </w:t>
      </w:r>
      <w:r w:rsidRPr="00800473">
        <w:rPr>
          <w:rFonts w:ascii="Arial" w:hAnsi="Arial"/>
          <w:sz w:val="18"/>
          <w:lang w:val="de-DE"/>
        </w:rPr>
        <w:t>United Nations, Report of the Human Rights Committee, vol.1, 21 September 1997, A/52/40, para. 438, p</w:t>
      </w:r>
      <w:r w:rsidR="00563B52">
        <w:rPr>
          <w:rFonts w:ascii="Arial" w:hAnsi="Arial"/>
          <w:sz w:val="18"/>
          <w:lang w:val="de-DE"/>
        </w:rPr>
        <w:t>. 70-71</w:t>
      </w:r>
      <w:r w:rsidRPr="00800473">
        <w:rPr>
          <w:rFonts w:ascii="Arial" w:hAnsi="Arial"/>
          <w:sz w:val="18"/>
          <w:lang w:val="de-DE"/>
        </w:rPr>
        <w:t xml:space="preserve"> (referring to India), at: </w:t>
      </w:r>
      <w:hyperlink r:id="rId8" w:history="1">
        <w:r w:rsidRPr="00D45859">
          <w:rPr>
            <w:rStyle w:val="af"/>
            <w:rFonts w:ascii="Arial" w:hAnsi="Arial"/>
            <w:sz w:val="18"/>
            <w:lang w:val="de-DE"/>
          </w:rPr>
          <w:t>http://daccess-dds-ny.un.org/doc/UNDOC/GEN/N97/247/64/IMG/N9724764.pdf?OpenElement</w:t>
        </w:r>
      </w:hyperlink>
      <w:r>
        <w:rPr>
          <w:rFonts w:ascii="Arial" w:hAnsi="Arial"/>
          <w:sz w:val="18"/>
          <w:lang w:val="de-DE"/>
        </w:rPr>
        <w:t xml:space="preserve"> </w:t>
      </w:r>
      <w:r w:rsidRPr="00800473">
        <w:rPr>
          <w:rFonts w:ascii="Arial" w:hAnsi="Arial"/>
          <w:sz w:val="18"/>
          <w:lang w:val="de-DE"/>
        </w:rPr>
        <w:t xml:space="preserve"> </w:t>
      </w:r>
    </w:p>
  </w:footnote>
  <w:footnote w:id="7">
    <w:p w:rsidR="00F721D0" w:rsidRPr="00A27320" w:rsidRDefault="00F721D0">
      <w:pPr>
        <w:pStyle w:val="a5"/>
        <w:rPr>
          <w:rFonts w:ascii="Arial" w:hAnsi="Arial"/>
          <w:sz w:val="18"/>
        </w:rPr>
      </w:pPr>
      <w:r w:rsidRPr="00A27320">
        <w:rPr>
          <w:rStyle w:val="a7"/>
          <w:rFonts w:ascii="Arial" w:hAnsi="Arial"/>
          <w:sz w:val="18"/>
        </w:rPr>
        <w:footnoteRef/>
      </w:r>
      <w:r w:rsidRPr="00A27320">
        <w:rPr>
          <w:rFonts w:ascii="Arial" w:hAnsi="Arial"/>
          <w:sz w:val="18"/>
        </w:rPr>
        <w:t xml:space="preserve"> Refer to (in Russian only): </w:t>
      </w:r>
      <w:hyperlink r:id="rId9" w:history="1">
        <w:r w:rsidRPr="00A27320">
          <w:rPr>
            <w:rStyle w:val="af"/>
            <w:rFonts w:ascii="Arial" w:hAnsi="Arial"/>
            <w:sz w:val="18"/>
          </w:rPr>
          <w:t>http://notorture.tj/library/soblyudeniya-prav-cheloveka-v-hode-voennoy-sluzhby-v-respublike-tadzhikistan</w:t>
        </w:r>
      </w:hyperlink>
      <w:r w:rsidRPr="00A27320">
        <w:rPr>
          <w:rFonts w:ascii="Arial" w:hAnsi="Arial"/>
          <w:sz w:val="18"/>
        </w:rPr>
        <w:t xml:space="preserve"> </w:t>
      </w:r>
    </w:p>
  </w:footnote>
  <w:footnote w:id="8">
    <w:p w:rsidR="00F721D0" w:rsidRPr="00D66002" w:rsidRDefault="00F721D0" w:rsidP="00517C8D">
      <w:pPr>
        <w:pStyle w:val="a5"/>
        <w:rPr>
          <w:rFonts w:ascii="Arial" w:hAnsi="Arial"/>
          <w:sz w:val="18"/>
        </w:rPr>
      </w:pPr>
      <w:r w:rsidRPr="00D66002">
        <w:rPr>
          <w:rStyle w:val="a7"/>
          <w:rFonts w:ascii="Arial" w:hAnsi="Arial"/>
          <w:sz w:val="18"/>
        </w:rPr>
        <w:footnoteRef/>
      </w:r>
      <w:r w:rsidRPr="00D66002">
        <w:rPr>
          <w:rFonts w:ascii="Arial" w:hAnsi="Arial"/>
          <w:sz w:val="18"/>
        </w:rPr>
        <w:t xml:space="preserve"> Refer to: </w:t>
      </w:r>
      <w:hyperlink r:id="rId10" w:history="1">
        <w:r w:rsidRPr="00D66002">
          <w:rPr>
            <w:rStyle w:val="af"/>
            <w:rFonts w:ascii="Arial" w:hAnsi="Arial"/>
            <w:sz w:val="18"/>
          </w:rPr>
          <w:t>http://www.ohchr.org/EN/HRBodies/UPR/PAGES/TJSession12.aspx</w:t>
        </w:r>
      </w:hyperlink>
      <w:r w:rsidRPr="00D66002">
        <w:rPr>
          <w:rFonts w:ascii="Arial" w:hAnsi="Arial"/>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C1F"/>
    <w:multiLevelType w:val="hybridMultilevel"/>
    <w:tmpl w:val="6338E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174F6"/>
    <w:multiLevelType w:val="hybridMultilevel"/>
    <w:tmpl w:val="AADE9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471309"/>
    <w:multiLevelType w:val="hybridMultilevel"/>
    <w:tmpl w:val="0A9C4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DE3D39"/>
    <w:multiLevelType w:val="hybridMultilevel"/>
    <w:tmpl w:val="84F05832"/>
    <w:lvl w:ilvl="0" w:tplc="D39242C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54424"/>
    <w:multiLevelType w:val="hybridMultilevel"/>
    <w:tmpl w:val="09345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650E3"/>
    <w:multiLevelType w:val="hybridMultilevel"/>
    <w:tmpl w:val="C1F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1303F0"/>
    <w:multiLevelType w:val="hybridMultilevel"/>
    <w:tmpl w:val="6AFE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013496"/>
    <w:multiLevelType w:val="hybridMultilevel"/>
    <w:tmpl w:val="4AFE5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893521"/>
    <w:multiLevelType w:val="hybridMultilevel"/>
    <w:tmpl w:val="5C7C8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E17FCD"/>
    <w:multiLevelType w:val="hybridMultilevel"/>
    <w:tmpl w:val="6A327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5"/>
  </w:num>
  <w:num w:numId="6">
    <w:abstractNumId w:val="8"/>
  </w:num>
  <w:num w:numId="7">
    <w:abstractNumId w:val="6"/>
  </w:num>
  <w:num w:numId="8">
    <w:abstractNumId w:val="1"/>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Krivosheev">
    <w15:presenceInfo w15:providerId="AD" w15:userId="S-1-5-21-41138708-3051471625-601936568-10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4E"/>
    <w:rsid w:val="00001D9D"/>
    <w:rsid w:val="00001E0A"/>
    <w:rsid w:val="0000241E"/>
    <w:rsid w:val="00002F44"/>
    <w:rsid w:val="000030D7"/>
    <w:rsid w:val="00004858"/>
    <w:rsid w:val="000109DF"/>
    <w:rsid w:val="00017C9C"/>
    <w:rsid w:val="00017DC4"/>
    <w:rsid w:val="00020C80"/>
    <w:rsid w:val="00021F83"/>
    <w:rsid w:val="0002512E"/>
    <w:rsid w:val="0002771D"/>
    <w:rsid w:val="000307B1"/>
    <w:rsid w:val="000314CE"/>
    <w:rsid w:val="00032C1C"/>
    <w:rsid w:val="00033AB3"/>
    <w:rsid w:val="00036F00"/>
    <w:rsid w:val="00043CA1"/>
    <w:rsid w:val="000454A3"/>
    <w:rsid w:val="00046E6B"/>
    <w:rsid w:val="00051DFD"/>
    <w:rsid w:val="00053F8C"/>
    <w:rsid w:val="00057000"/>
    <w:rsid w:val="00060859"/>
    <w:rsid w:val="000620C4"/>
    <w:rsid w:val="000667A4"/>
    <w:rsid w:val="00067EE4"/>
    <w:rsid w:val="000700CF"/>
    <w:rsid w:val="00072489"/>
    <w:rsid w:val="000746B5"/>
    <w:rsid w:val="000747FD"/>
    <w:rsid w:val="00075B80"/>
    <w:rsid w:val="0007656C"/>
    <w:rsid w:val="00076958"/>
    <w:rsid w:val="00080E21"/>
    <w:rsid w:val="000836D8"/>
    <w:rsid w:val="00083F58"/>
    <w:rsid w:val="000851B2"/>
    <w:rsid w:val="00087905"/>
    <w:rsid w:val="00090B3A"/>
    <w:rsid w:val="0009272D"/>
    <w:rsid w:val="000A04FA"/>
    <w:rsid w:val="000A3437"/>
    <w:rsid w:val="000A4599"/>
    <w:rsid w:val="000B0460"/>
    <w:rsid w:val="000B1A7D"/>
    <w:rsid w:val="000B1DB5"/>
    <w:rsid w:val="000B36D2"/>
    <w:rsid w:val="000B5473"/>
    <w:rsid w:val="000B5CA5"/>
    <w:rsid w:val="000B6184"/>
    <w:rsid w:val="000C0AD6"/>
    <w:rsid w:val="000C2C43"/>
    <w:rsid w:val="000C6594"/>
    <w:rsid w:val="000C75BD"/>
    <w:rsid w:val="000D1F31"/>
    <w:rsid w:val="000D2242"/>
    <w:rsid w:val="000E15C3"/>
    <w:rsid w:val="000E39B8"/>
    <w:rsid w:val="000E3BF8"/>
    <w:rsid w:val="000E514A"/>
    <w:rsid w:val="000F1674"/>
    <w:rsid w:val="000F2A0B"/>
    <w:rsid w:val="000F5F04"/>
    <w:rsid w:val="000F6692"/>
    <w:rsid w:val="000F68B9"/>
    <w:rsid w:val="000F7404"/>
    <w:rsid w:val="00102DD2"/>
    <w:rsid w:val="0010740D"/>
    <w:rsid w:val="001132CE"/>
    <w:rsid w:val="00116303"/>
    <w:rsid w:val="00116DEC"/>
    <w:rsid w:val="00120696"/>
    <w:rsid w:val="001211C7"/>
    <w:rsid w:val="00124C73"/>
    <w:rsid w:val="00126248"/>
    <w:rsid w:val="0012745F"/>
    <w:rsid w:val="00127969"/>
    <w:rsid w:val="00130DC7"/>
    <w:rsid w:val="0013252E"/>
    <w:rsid w:val="001349B5"/>
    <w:rsid w:val="00136273"/>
    <w:rsid w:val="0014034E"/>
    <w:rsid w:val="001420EF"/>
    <w:rsid w:val="00146BCB"/>
    <w:rsid w:val="001540C4"/>
    <w:rsid w:val="001547D1"/>
    <w:rsid w:val="00157671"/>
    <w:rsid w:val="00157C27"/>
    <w:rsid w:val="00162983"/>
    <w:rsid w:val="00164639"/>
    <w:rsid w:val="00165649"/>
    <w:rsid w:val="001663E9"/>
    <w:rsid w:val="00167A00"/>
    <w:rsid w:val="001718C4"/>
    <w:rsid w:val="001724CA"/>
    <w:rsid w:val="00174787"/>
    <w:rsid w:val="0017715D"/>
    <w:rsid w:val="00182F53"/>
    <w:rsid w:val="001933FC"/>
    <w:rsid w:val="00193945"/>
    <w:rsid w:val="001A3043"/>
    <w:rsid w:val="001B23B8"/>
    <w:rsid w:val="001B2A88"/>
    <w:rsid w:val="001B3484"/>
    <w:rsid w:val="001B5418"/>
    <w:rsid w:val="001B6F4F"/>
    <w:rsid w:val="001B7F5D"/>
    <w:rsid w:val="001C02D7"/>
    <w:rsid w:val="001C0A1A"/>
    <w:rsid w:val="001C1FF0"/>
    <w:rsid w:val="001C5DF5"/>
    <w:rsid w:val="001D31BD"/>
    <w:rsid w:val="001D4FE7"/>
    <w:rsid w:val="001E26CB"/>
    <w:rsid w:val="001E288C"/>
    <w:rsid w:val="001E5D24"/>
    <w:rsid w:val="001E79EE"/>
    <w:rsid w:val="001F139F"/>
    <w:rsid w:val="001F1BD7"/>
    <w:rsid w:val="001F44ED"/>
    <w:rsid w:val="0020108C"/>
    <w:rsid w:val="002014DE"/>
    <w:rsid w:val="002023ED"/>
    <w:rsid w:val="00205BB2"/>
    <w:rsid w:val="0020710A"/>
    <w:rsid w:val="002078C3"/>
    <w:rsid w:val="00210A32"/>
    <w:rsid w:val="00211D7D"/>
    <w:rsid w:val="002139DF"/>
    <w:rsid w:val="00215AE7"/>
    <w:rsid w:val="002228A8"/>
    <w:rsid w:val="0022325E"/>
    <w:rsid w:val="00223949"/>
    <w:rsid w:val="0022751B"/>
    <w:rsid w:val="0023011D"/>
    <w:rsid w:val="00231A47"/>
    <w:rsid w:val="0023202A"/>
    <w:rsid w:val="00232420"/>
    <w:rsid w:val="00233F7F"/>
    <w:rsid w:val="00234806"/>
    <w:rsid w:val="002367BA"/>
    <w:rsid w:val="002403E4"/>
    <w:rsid w:val="00241F3C"/>
    <w:rsid w:val="00243334"/>
    <w:rsid w:val="00245D7D"/>
    <w:rsid w:val="0024605F"/>
    <w:rsid w:val="00246518"/>
    <w:rsid w:val="00246D7E"/>
    <w:rsid w:val="002509AE"/>
    <w:rsid w:val="00250F90"/>
    <w:rsid w:val="00252FFE"/>
    <w:rsid w:val="002534BF"/>
    <w:rsid w:val="002619A6"/>
    <w:rsid w:val="002625D7"/>
    <w:rsid w:val="00266D1B"/>
    <w:rsid w:val="00267584"/>
    <w:rsid w:val="002711B9"/>
    <w:rsid w:val="002730B5"/>
    <w:rsid w:val="00275C33"/>
    <w:rsid w:val="002805EC"/>
    <w:rsid w:val="00282E96"/>
    <w:rsid w:val="00290910"/>
    <w:rsid w:val="002950F5"/>
    <w:rsid w:val="00295372"/>
    <w:rsid w:val="00296BF8"/>
    <w:rsid w:val="002A3C78"/>
    <w:rsid w:val="002A5937"/>
    <w:rsid w:val="002B2250"/>
    <w:rsid w:val="002B26B5"/>
    <w:rsid w:val="002B4B59"/>
    <w:rsid w:val="002C0A0A"/>
    <w:rsid w:val="002C41B2"/>
    <w:rsid w:val="002D0F44"/>
    <w:rsid w:val="002D68EE"/>
    <w:rsid w:val="002D7DB0"/>
    <w:rsid w:val="002F35C3"/>
    <w:rsid w:val="002F3F78"/>
    <w:rsid w:val="002F5C6E"/>
    <w:rsid w:val="002F6C85"/>
    <w:rsid w:val="002F7F94"/>
    <w:rsid w:val="00300891"/>
    <w:rsid w:val="00302431"/>
    <w:rsid w:val="00305B1A"/>
    <w:rsid w:val="00312B23"/>
    <w:rsid w:val="003130F6"/>
    <w:rsid w:val="00316060"/>
    <w:rsid w:val="00317D78"/>
    <w:rsid w:val="00323FC1"/>
    <w:rsid w:val="003242C7"/>
    <w:rsid w:val="00330FDF"/>
    <w:rsid w:val="003330DD"/>
    <w:rsid w:val="003331EB"/>
    <w:rsid w:val="00333CDA"/>
    <w:rsid w:val="003349DE"/>
    <w:rsid w:val="00334D4F"/>
    <w:rsid w:val="003363F2"/>
    <w:rsid w:val="00336725"/>
    <w:rsid w:val="00337F61"/>
    <w:rsid w:val="00340372"/>
    <w:rsid w:val="003445F6"/>
    <w:rsid w:val="003453FA"/>
    <w:rsid w:val="00352E24"/>
    <w:rsid w:val="00356043"/>
    <w:rsid w:val="003635CC"/>
    <w:rsid w:val="00364A04"/>
    <w:rsid w:val="00364CD3"/>
    <w:rsid w:val="0036567A"/>
    <w:rsid w:val="00365B61"/>
    <w:rsid w:val="003678C1"/>
    <w:rsid w:val="00377DEB"/>
    <w:rsid w:val="003808B3"/>
    <w:rsid w:val="00383B4A"/>
    <w:rsid w:val="00386CD6"/>
    <w:rsid w:val="00392FEE"/>
    <w:rsid w:val="00394FBD"/>
    <w:rsid w:val="003A2681"/>
    <w:rsid w:val="003A5B94"/>
    <w:rsid w:val="003A5E51"/>
    <w:rsid w:val="003A615C"/>
    <w:rsid w:val="003B11CE"/>
    <w:rsid w:val="003B2E3A"/>
    <w:rsid w:val="003B5731"/>
    <w:rsid w:val="003C03BC"/>
    <w:rsid w:val="003C40F6"/>
    <w:rsid w:val="003C644A"/>
    <w:rsid w:val="003C6C4B"/>
    <w:rsid w:val="003C7590"/>
    <w:rsid w:val="003C7EB8"/>
    <w:rsid w:val="003D6A8B"/>
    <w:rsid w:val="003E151D"/>
    <w:rsid w:val="003E78F3"/>
    <w:rsid w:val="003F212F"/>
    <w:rsid w:val="003F2A6D"/>
    <w:rsid w:val="003F553E"/>
    <w:rsid w:val="003F6C9D"/>
    <w:rsid w:val="003F7678"/>
    <w:rsid w:val="00400075"/>
    <w:rsid w:val="004023DA"/>
    <w:rsid w:val="0040506F"/>
    <w:rsid w:val="0040512E"/>
    <w:rsid w:val="004053CA"/>
    <w:rsid w:val="00415171"/>
    <w:rsid w:val="0041618B"/>
    <w:rsid w:val="00416D2C"/>
    <w:rsid w:val="00423016"/>
    <w:rsid w:val="00424240"/>
    <w:rsid w:val="0042424C"/>
    <w:rsid w:val="00425638"/>
    <w:rsid w:val="00431F37"/>
    <w:rsid w:val="00431F5B"/>
    <w:rsid w:val="0043313A"/>
    <w:rsid w:val="00433401"/>
    <w:rsid w:val="00434F32"/>
    <w:rsid w:val="0043596D"/>
    <w:rsid w:val="004369A6"/>
    <w:rsid w:val="00436F90"/>
    <w:rsid w:val="00442CB6"/>
    <w:rsid w:val="0045182A"/>
    <w:rsid w:val="00454595"/>
    <w:rsid w:val="004609E5"/>
    <w:rsid w:val="004620BB"/>
    <w:rsid w:val="0046468D"/>
    <w:rsid w:val="004647D9"/>
    <w:rsid w:val="004653F2"/>
    <w:rsid w:val="004709E7"/>
    <w:rsid w:val="004723CF"/>
    <w:rsid w:val="004730E9"/>
    <w:rsid w:val="00477D7F"/>
    <w:rsid w:val="00482454"/>
    <w:rsid w:val="0048314A"/>
    <w:rsid w:val="00486BD5"/>
    <w:rsid w:val="004871E3"/>
    <w:rsid w:val="00490FBF"/>
    <w:rsid w:val="0049250A"/>
    <w:rsid w:val="004929B1"/>
    <w:rsid w:val="00492D4E"/>
    <w:rsid w:val="00495D79"/>
    <w:rsid w:val="004A0C82"/>
    <w:rsid w:val="004A1250"/>
    <w:rsid w:val="004A200C"/>
    <w:rsid w:val="004A4979"/>
    <w:rsid w:val="004A644D"/>
    <w:rsid w:val="004A7776"/>
    <w:rsid w:val="004B0601"/>
    <w:rsid w:val="004B0C68"/>
    <w:rsid w:val="004B4711"/>
    <w:rsid w:val="004B6783"/>
    <w:rsid w:val="004C225A"/>
    <w:rsid w:val="004C368D"/>
    <w:rsid w:val="004C743F"/>
    <w:rsid w:val="004C771A"/>
    <w:rsid w:val="004C7A51"/>
    <w:rsid w:val="004D0062"/>
    <w:rsid w:val="004D140E"/>
    <w:rsid w:val="004D1493"/>
    <w:rsid w:val="004D169F"/>
    <w:rsid w:val="004D7179"/>
    <w:rsid w:val="004D717B"/>
    <w:rsid w:val="004E192B"/>
    <w:rsid w:val="004E280F"/>
    <w:rsid w:val="004E78C8"/>
    <w:rsid w:val="004E7E42"/>
    <w:rsid w:val="004F0F35"/>
    <w:rsid w:val="004F235E"/>
    <w:rsid w:val="004F4A5E"/>
    <w:rsid w:val="004F5418"/>
    <w:rsid w:val="004F6A61"/>
    <w:rsid w:val="004F7427"/>
    <w:rsid w:val="0050206F"/>
    <w:rsid w:val="005060FE"/>
    <w:rsid w:val="005068B4"/>
    <w:rsid w:val="00510AE4"/>
    <w:rsid w:val="00517939"/>
    <w:rsid w:val="00517C8D"/>
    <w:rsid w:val="00526300"/>
    <w:rsid w:val="00526800"/>
    <w:rsid w:val="00530FE4"/>
    <w:rsid w:val="005332AA"/>
    <w:rsid w:val="00534C80"/>
    <w:rsid w:val="005359EA"/>
    <w:rsid w:val="00540877"/>
    <w:rsid w:val="00540D36"/>
    <w:rsid w:val="00541569"/>
    <w:rsid w:val="005415E2"/>
    <w:rsid w:val="005435A2"/>
    <w:rsid w:val="0054467D"/>
    <w:rsid w:val="00544D20"/>
    <w:rsid w:val="00546346"/>
    <w:rsid w:val="0054715E"/>
    <w:rsid w:val="00547567"/>
    <w:rsid w:val="00551801"/>
    <w:rsid w:val="005548C4"/>
    <w:rsid w:val="00557F39"/>
    <w:rsid w:val="00562010"/>
    <w:rsid w:val="00563B52"/>
    <w:rsid w:val="00567D07"/>
    <w:rsid w:val="00570149"/>
    <w:rsid w:val="00571068"/>
    <w:rsid w:val="00573F73"/>
    <w:rsid w:val="005839B4"/>
    <w:rsid w:val="00584886"/>
    <w:rsid w:val="00584D06"/>
    <w:rsid w:val="005854FC"/>
    <w:rsid w:val="00586254"/>
    <w:rsid w:val="00586724"/>
    <w:rsid w:val="00587FA2"/>
    <w:rsid w:val="00590AB6"/>
    <w:rsid w:val="005934C6"/>
    <w:rsid w:val="0059376D"/>
    <w:rsid w:val="00594AD3"/>
    <w:rsid w:val="00595020"/>
    <w:rsid w:val="005953BD"/>
    <w:rsid w:val="0059579E"/>
    <w:rsid w:val="005A0BC5"/>
    <w:rsid w:val="005A0E7C"/>
    <w:rsid w:val="005A347E"/>
    <w:rsid w:val="005A361A"/>
    <w:rsid w:val="005A70A9"/>
    <w:rsid w:val="005A7F54"/>
    <w:rsid w:val="005B43A1"/>
    <w:rsid w:val="005B5098"/>
    <w:rsid w:val="005B5246"/>
    <w:rsid w:val="005C092A"/>
    <w:rsid w:val="005C1773"/>
    <w:rsid w:val="005C3B95"/>
    <w:rsid w:val="005C571C"/>
    <w:rsid w:val="005C759F"/>
    <w:rsid w:val="005C7860"/>
    <w:rsid w:val="005C797E"/>
    <w:rsid w:val="005D0705"/>
    <w:rsid w:val="005D30E1"/>
    <w:rsid w:val="005D367A"/>
    <w:rsid w:val="005D65D5"/>
    <w:rsid w:val="005D6740"/>
    <w:rsid w:val="005D6762"/>
    <w:rsid w:val="005D73CB"/>
    <w:rsid w:val="005D7A84"/>
    <w:rsid w:val="005E1364"/>
    <w:rsid w:val="005E1943"/>
    <w:rsid w:val="005E2A87"/>
    <w:rsid w:val="005E43C5"/>
    <w:rsid w:val="005E5C6C"/>
    <w:rsid w:val="005F10B5"/>
    <w:rsid w:val="005F3613"/>
    <w:rsid w:val="005F4DB9"/>
    <w:rsid w:val="005F4EF0"/>
    <w:rsid w:val="005F6925"/>
    <w:rsid w:val="00600633"/>
    <w:rsid w:val="006010F8"/>
    <w:rsid w:val="00604627"/>
    <w:rsid w:val="00605C85"/>
    <w:rsid w:val="00611F13"/>
    <w:rsid w:val="0061280F"/>
    <w:rsid w:val="00613C7E"/>
    <w:rsid w:val="006152DF"/>
    <w:rsid w:val="00616B2E"/>
    <w:rsid w:val="006172A7"/>
    <w:rsid w:val="00620688"/>
    <w:rsid w:val="00620828"/>
    <w:rsid w:val="006240E0"/>
    <w:rsid w:val="00626931"/>
    <w:rsid w:val="00630B62"/>
    <w:rsid w:val="006324CB"/>
    <w:rsid w:val="00632D33"/>
    <w:rsid w:val="00635D0A"/>
    <w:rsid w:val="00636A9F"/>
    <w:rsid w:val="00636D43"/>
    <w:rsid w:val="006379EF"/>
    <w:rsid w:val="00640E4F"/>
    <w:rsid w:val="0064140F"/>
    <w:rsid w:val="006435E6"/>
    <w:rsid w:val="00643E97"/>
    <w:rsid w:val="00644E03"/>
    <w:rsid w:val="00644ECB"/>
    <w:rsid w:val="0064632A"/>
    <w:rsid w:val="00646846"/>
    <w:rsid w:val="00647446"/>
    <w:rsid w:val="00647BFB"/>
    <w:rsid w:val="00652594"/>
    <w:rsid w:val="00652633"/>
    <w:rsid w:val="006536E6"/>
    <w:rsid w:val="00653E55"/>
    <w:rsid w:val="00656ECF"/>
    <w:rsid w:val="00657A02"/>
    <w:rsid w:val="00660AD3"/>
    <w:rsid w:val="00671484"/>
    <w:rsid w:val="0067427A"/>
    <w:rsid w:val="00677CC4"/>
    <w:rsid w:val="006835A4"/>
    <w:rsid w:val="00684FE0"/>
    <w:rsid w:val="00686B51"/>
    <w:rsid w:val="00687764"/>
    <w:rsid w:val="00691BA2"/>
    <w:rsid w:val="00693EAB"/>
    <w:rsid w:val="006940D0"/>
    <w:rsid w:val="006942DC"/>
    <w:rsid w:val="00695416"/>
    <w:rsid w:val="00696306"/>
    <w:rsid w:val="0069662E"/>
    <w:rsid w:val="0069685A"/>
    <w:rsid w:val="00696FA7"/>
    <w:rsid w:val="00697BED"/>
    <w:rsid w:val="006A2D7B"/>
    <w:rsid w:val="006A6A3F"/>
    <w:rsid w:val="006A6B7A"/>
    <w:rsid w:val="006A6C89"/>
    <w:rsid w:val="006B1ACB"/>
    <w:rsid w:val="006B3565"/>
    <w:rsid w:val="006C0241"/>
    <w:rsid w:val="006C5AB3"/>
    <w:rsid w:val="006C6170"/>
    <w:rsid w:val="006D0A07"/>
    <w:rsid w:val="006D43E7"/>
    <w:rsid w:val="006D6652"/>
    <w:rsid w:val="006D7A8C"/>
    <w:rsid w:val="006E0F61"/>
    <w:rsid w:val="006E4C39"/>
    <w:rsid w:val="006F1585"/>
    <w:rsid w:val="006F2317"/>
    <w:rsid w:val="006F64B3"/>
    <w:rsid w:val="006F7803"/>
    <w:rsid w:val="007001F4"/>
    <w:rsid w:val="007036CE"/>
    <w:rsid w:val="007055B9"/>
    <w:rsid w:val="007069CD"/>
    <w:rsid w:val="00706C5D"/>
    <w:rsid w:val="00717EB8"/>
    <w:rsid w:val="007224C5"/>
    <w:rsid w:val="00724D6B"/>
    <w:rsid w:val="00732C2D"/>
    <w:rsid w:val="00736E4A"/>
    <w:rsid w:val="0074101A"/>
    <w:rsid w:val="00750AC2"/>
    <w:rsid w:val="00753F3E"/>
    <w:rsid w:val="00755603"/>
    <w:rsid w:val="00757848"/>
    <w:rsid w:val="00757B58"/>
    <w:rsid w:val="007626C2"/>
    <w:rsid w:val="00762707"/>
    <w:rsid w:val="00764AE2"/>
    <w:rsid w:val="00771119"/>
    <w:rsid w:val="00777834"/>
    <w:rsid w:val="00777CF1"/>
    <w:rsid w:val="00785765"/>
    <w:rsid w:val="00786981"/>
    <w:rsid w:val="00786D2C"/>
    <w:rsid w:val="00787C13"/>
    <w:rsid w:val="00790EEF"/>
    <w:rsid w:val="00791281"/>
    <w:rsid w:val="007926C1"/>
    <w:rsid w:val="00792903"/>
    <w:rsid w:val="00797348"/>
    <w:rsid w:val="00797D9B"/>
    <w:rsid w:val="007A0138"/>
    <w:rsid w:val="007A0854"/>
    <w:rsid w:val="007A2137"/>
    <w:rsid w:val="007A27E5"/>
    <w:rsid w:val="007A4758"/>
    <w:rsid w:val="007A4D46"/>
    <w:rsid w:val="007B07A3"/>
    <w:rsid w:val="007B1197"/>
    <w:rsid w:val="007B18CA"/>
    <w:rsid w:val="007B2F46"/>
    <w:rsid w:val="007B3C44"/>
    <w:rsid w:val="007B4F87"/>
    <w:rsid w:val="007B617C"/>
    <w:rsid w:val="007B6742"/>
    <w:rsid w:val="007C000B"/>
    <w:rsid w:val="007C2F62"/>
    <w:rsid w:val="007C3752"/>
    <w:rsid w:val="007C45EA"/>
    <w:rsid w:val="007D3422"/>
    <w:rsid w:val="007D6520"/>
    <w:rsid w:val="007E0EDC"/>
    <w:rsid w:val="007E3214"/>
    <w:rsid w:val="007E3566"/>
    <w:rsid w:val="007E4D4D"/>
    <w:rsid w:val="007F19F6"/>
    <w:rsid w:val="007F7C72"/>
    <w:rsid w:val="007F7DF9"/>
    <w:rsid w:val="00800473"/>
    <w:rsid w:val="00801AFB"/>
    <w:rsid w:val="00803E6C"/>
    <w:rsid w:val="00805E54"/>
    <w:rsid w:val="008103B1"/>
    <w:rsid w:val="008105F7"/>
    <w:rsid w:val="008163EF"/>
    <w:rsid w:val="00821C71"/>
    <w:rsid w:val="0083059D"/>
    <w:rsid w:val="00831E29"/>
    <w:rsid w:val="0084075B"/>
    <w:rsid w:val="0084109C"/>
    <w:rsid w:val="00844115"/>
    <w:rsid w:val="008447E5"/>
    <w:rsid w:val="00850BD5"/>
    <w:rsid w:val="008516E8"/>
    <w:rsid w:val="00852732"/>
    <w:rsid w:val="00854228"/>
    <w:rsid w:val="008548B2"/>
    <w:rsid w:val="00856B0E"/>
    <w:rsid w:val="00865765"/>
    <w:rsid w:val="00872ABE"/>
    <w:rsid w:val="00872B5F"/>
    <w:rsid w:val="0087771B"/>
    <w:rsid w:val="0088085A"/>
    <w:rsid w:val="00881BF4"/>
    <w:rsid w:val="00882C03"/>
    <w:rsid w:val="00882E45"/>
    <w:rsid w:val="00884AE3"/>
    <w:rsid w:val="00884EA1"/>
    <w:rsid w:val="008919CB"/>
    <w:rsid w:val="008929F2"/>
    <w:rsid w:val="00895B41"/>
    <w:rsid w:val="00897038"/>
    <w:rsid w:val="00897FA7"/>
    <w:rsid w:val="008A1766"/>
    <w:rsid w:val="008A21E9"/>
    <w:rsid w:val="008A2F04"/>
    <w:rsid w:val="008A6D0F"/>
    <w:rsid w:val="008B1932"/>
    <w:rsid w:val="008B43F9"/>
    <w:rsid w:val="008B4E5B"/>
    <w:rsid w:val="008B5BA0"/>
    <w:rsid w:val="008B77C1"/>
    <w:rsid w:val="008B7D16"/>
    <w:rsid w:val="008C170D"/>
    <w:rsid w:val="008C2F56"/>
    <w:rsid w:val="008C3507"/>
    <w:rsid w:val="008D2114"/>
    <w:rsid w:val="008D281C"/>
    <w:rsid w:val="008D44EB"/>
    <w:rsid w:val="008D4EB3"/>
    <w:rsid w:val="008E3EA9"/>
    <w:rsid w:val="008E5E9D"/>
    <w:rsid w:val="008F0EDB"/>
    <w:rsid w:val="008F656D"/>
    <w:rsid w:val="008F6E18"/>
    <w:rsid w:val="008F7B66"/>
    <w:rsid w:val="008F7FB4"/>
    <w:rsid w:val="00900BFD"/>
    <w:rsid w:val="00900C65"/>
    <w:rsid w:val="009010AD"/>
    <w:rsid w:val="00901B1F"/>
    <w:rsid w:val="009128F2"/>
    <w:rsid w:val="009169A4"/>
    <w:rsid w:val="0092058C"/>
    <w:rsid w:val="00921023"/>
    <w:rsid w:val="009246E1"/>
    <w:rsid w:val="009269AA"/>
    <w:rsid w:val="00933225"/>
    <w:rsid w:val="00933FA2"/>
    <w:rsid w:val="00934A21"/>
    <w:rsid w:val="00936E0A"/>
    <w:rsid w:val="0094107A"/>
    <w:rsid w:val="0094697C"/>
    <w:rsid w:val="009477F1"/>
    <w:rsid w:val="00950145"/>
    <w:rsid w:val="00951799"/>
    <w:rsid w:val="00956C42"/>
    <w:rsid w:val="00960B62"/>
    <w:rsid w:val="009647D8"/>
    <w:rsid w:val="009659C8"/>
    <w:rsid w:val="009667B1"/>
    <w:rsid w:val="009668A8"/>
    <w:rsid w:val="0096782F"/>
    <w:rsid w:val="00967B81"/>
    <w:rsid w:val="009738BE"/>
    <w:rsid w:val="00975469"/>
    <w:rsid w:val="009755EE"/>
    <w:rsid w:val="00977C01"/>
    <w:rsid w:val="00981DAE"/>
    <w:rsid w:val="00983515"/>
    <w:rsid w:val="0098670F"/>
    <w:rsid w:val="00986FD5"/>
    <w:rsid w:val="00987BDE"/>
    <w:rsid w:val="00990B2D"/>
    <w:rsid w:val="00992AF6"/>
    <w:rsid w:val="00997122"/>
    <w:rsid w:val="009A0B3B"/>
    <w:rsid w:val="009A1E76"/>
    <w:rsid w:val="009A6D76"/>
    <w:rsid w:val="009B1C75"/>
    <w:rsid w:val="009B36BD"/>
    <w:rsid w:val="009B54AD"/>
    <w:rsid w:val="009C1DF0"/>
    <w:rsid w:val="009C4BF7"/>
    <w:rsid w:val="009C5D05"/>
    <w:rsid w:val="009C64DE"/>
    <w:rsid w:val="009D032D"/>
    <w:rsid w:val="009D121B"/>
    <w:rsid w:val="009D25B6"/>
    <w:rsid w:val="009D313C"/>
    <w:rsid w:val="009E265E"/>
    <w:rsid w:val="009E41DC"/>
    <w:rsid w:val="009E53CF"/>
    <w:rsid w:val="009E5F6B"/>
    <w:rsid w:val="009E67CF"/>
    <w:rsid w:val="009F3A1E"/>
    <w:rsid w:val="009F7217"/>
    <w:rsid w:val="009F7254"/>
    <w:rsid w:val="009F77B4"/>
    <w:rsid w:val="009F7D24"/>
    <w:rsid w:val="00A01586"/>
    <w:rsid w:val="00A01B12"/>
    <w:rsid w:val="00A01D46"/>
    <w:rsid w:val="00A02643"/>
    <w:rsid w:val="00A0627B"/>
    <w:rsid w:val="00A12B35"/>
    <w:rsid w:val="00A12E26"/>
    <w:rsid w:val="00A1302F"/>
    <w:rsid w:val="00A13A3F"/>
    <w:rsid w:val="00A13D08"/>
    <w:rsid w:val="00A1783E"/>
    <w:rsid w:val="00A2222F"/>
    <w:rsid w:val="00A23F37"/>
    <w:rsid w:val="00A27320"/>
    <w:rsid w:val="00A317FF"/>
    <w:rsid w:val="00A3237A"/>
    <w:rsid w:val="00A338B2"/>
    <w:rsid w:val="00A33B8D"/>
    <w:rsid w:val="00A35CE5"/>
    <w:rsid w:val="00A35D44"/>
    <w:rsid w:val="00A35DD9"/>
    <w:rsid w:val="00A36CD1"/>
    <w:rsid w:val="00A4198B"/>
    <w:rsid w:val="00A47AEC"/>
    <w:rsid w:val="00A500C1"/>
    <w:rsid w:val="00A529A7"/>
    <w:rsid w:val="00A55234"/>
    <w:rsid w:val="00A61C7D"/>
    <w:rsid w:val="00A674AE"/>
    <w:rsid w:val="00A72A52"/>
    <w:rsid w:val="00A73B67"/>
    <w:rsid w:val="00A753E7"/>
    <w:rsid w:val="00A846DF"/>
    <w:rsid w:val="00A861E9"/>
    <w:rsid w:val="00A86463"/>
    <w:rsid w:val="00A92117"/>
    <w:rsid w:val="00A92C4B"/>
    <w:rsid w:val="00A934C4"/>
    <w:rsid w:val="00A943E3"/>
    <w:rsid w:val="00AA37E9"/>
    <w:rsid w:val="00AA76D3"/>
    <w:rsid w:val="00AB2E4C"/>
    <w:rsid w:val="00AB3790"/>
    <w:rsid w:val="00AB3A16"/>
    <w:rsid w:val="00AB57A9"/>
    <w:rsid w:val="00AB7826"/>
    <w:rsid w:val="00AB7DA5"/>
    <w:rsid w:val="00AC03D5"/>
    <w:rsid w:val="00AC24F1"/>
    <w:rsid w:val="00AC395D"/>
    <w:rsid w:val="00AC3AB4"/>
    <w:rsid w:val="00AC6F80"/>
    <w:rsid w:val="00AC7766"/>
    <w:rsid w:val="00AD0E16"/>
    <w:rsid w:val="00AD13D5"/>
    <w:rsid w:val="00AD1917"/>
    <w:rsid w:val="00AD42D8"/>
    <w:rsid w:val="00AD446F"/>
    <w:rsid w:val="00AD5DE1"/>
    <w:rsid w:val="00AD6AC8"/>
    <w:rsid w:val="00AE0C0D"/>
    <w:rsid w:val="00AE188D"/>
    <w:rsid w:val="00AE27E3"/>
    <w:rsid w:val="00AE295E"/>
    <w:rsid w:val="00AE3755"/>
    <w:rsid w:val="00AE7133"/>
    <w:rsid w:val="00AF1F1A"/>
    <w:rsid w:val="00AF3639"/>
    <w:rsid w:val="00AF5440"/>
    <w:rsid w:val="00B02C7B"/>
    <w:rsid w:val="00B04F1B"/>
    <w:rsid w:val="00B0729A"/>
    <w:rsid w:val="00B13B14"/>
    <w:rsid w:val="00B14B1C"/>
    <w:rsid w:val="00B15B71"/>
    <w:rsid w:val="00B16562"/>
    <w:rsid w:val="00B16AD1"/>
    <w:rsid w:val="00B22518"/>
    <w:rsid w:val="00B27715"/>
    <w:rsid w:val="00B31420"/>
    <w:rsid w:val="00B31960"/>
    <w:rsid w:val="00B341BD"/>
    <w:rsid w:val="00B34C1D"/>
    <w:rsid w:val="00B3683E"/>
    <w:rsid w:val="00B4047F"/>
    <w:rsid w:val="00B40FE0"/>
    <w:rsid w:val="00B45102"/>
    <w:rsid w:val="00B46D23"/>
    <w:rsid w:val="00B4777C"/>
    <w:rsid w:val="00B52C5B"/>
    <w:rsid w:val="00B54BC2"/>
    <w:rsid w:val="00B602E4"/>
    <w:rsid w:val="00B6535B"/>
    <w:rsid w:val="00B66E8F"/>
    <w:rsid w:val="00B67EBB"/>
    <w:rsid w:val="00B703D7"/>
    <w:rsid w:val="00B7189C"/>
    <w:rsid w:val="00B73F1F"/>
    <w:rsid w:val="00B75F61"/>
    <w:rsid w:val="00B8700B"/>
    <w:rsid w:val="00B90665"/>
    <w:rsid w:val="00B90A13"/>
    <w:rsid w:val="00B92DC5"/>
    <w:rsid w:val="00B94FD6"/>
    <w:rsid w:val="00BA76CB"/>
    <w:rsid w:val="00BB2850"/>
    <w:rsid w:val="00BB46AB"/>
    <w:rsid w:val="00BB49D9"/>
    <w:rsid w:val="00BB6665"/>
    <w:rsid w:val="00BB68C3"/>
    <w:rsid w:val="00BC2D20"/>
    <w:rsid w:val="00BC318E"/>
    <w:rsid w:val="00BC3790"/>
    <w:rsid w:val="00BC5B6E"/>
    <w:rsid w:val="00BD2759"/>
    <w:rsid w:val="00BD3E63"/>
    <w:rsid w:val="00BD78DC"/>
    <w:rsid w:val="00BE0FA2"/>
    <w:rsid w:val="00BE1ED6"/>
    <w:rsid w:val="00BE24A4"/>
    <w:rsid w:val="00BE26AF"/>
    <w:rsid w:val="00BE3622"/>
    <w:rsid w:val="00BE520C"/>
    <w:rsid w:val="00BF2EA7"/>
    <w:rsid w:val="00BF3582"/>
    <w:rsid w:val="00BF44E1"/>
    <w:rsid w:val="00BF5495"/>
    <w:rsid w:val="00C00814"/>
    <w:rsid w:val="00C00D68"/>
    <w:rsid w:val="00C018AE"/>
    <w:rsid w:val="00C01970"/>
    <w:rsid w:val="00C0198C"/>
    <w:rsid w:val="00C03E74"/>
    <w:rsid w:val="00C04F70"/>
    <w:rsid w:val="00C055B6"/>
    <w:rsid w:val="00C05D90"/>
    <w:rsid w:val="00C06A7A"/>
    <w:rsid w:val="00C138A9"/>
    <w:rsid w:val="00C2016B"/>
    <w:rsid w:val="00C237C1"/>
    <w:rsid w:val="00C247D6"/>
    <w:rsid w:val="00C2678F"/>
    <w:rsid w:val="00C3136C"/>
    <w:rsid w:val="00C33436"/>
    <w:rsid w:val="00C36195"/>
    <w:rsid w:val="00C403A4"/>
    <w:rsid w:val="00C44503"/>
    <w:rsid w:val="00C45BCB"/>
    <w:rsid w:val="00C461C1"/>
    <w:rsid w:val="00C515A2"/>
    <w:rsid w:val="00C52771"/>
    <w:rsid w:val="00C545BA"/>
    <w:rsid w:val="00C553BD"/>
    <w:rsid w:val="00C579D5"/>
    <w:rsid w:val="00C75ECB"/>
    <w:rsid w:val="00C765DA"/>
    <w:rsid w:val="00C76A63"/>
    <w:rsid w:val="00C77DD0"/>
    <w:rsid w:val="00C803BA"/>
    <w:rsid w:val="00C826FF"/>
    <w:rsid w:val="00C84AEA"/>
    <w:rsid w:val="00C8688E"/>
    <w:rsid w:val="00C958D3"/>
    <w:rsid w:val="00CA2BCD"/>
    <w:rsid w:val="00CA2E3D"/>
    <w:rsid w:val="00CA321E"/>
    <w:rsid w:val="00CA3807"/>
    <w:rsid w:val="00CA5BFC"/>
    <w:rsid w:val="00CA6F9F"/>
    <w:rsid w:val="00CB0F28"/>
    <w:rsid w:val="00CB2B7F"/>
    <w:rsid w:val="00CB4CF8"/>
    <w:rsid w:val="00CB5DAE"/>
    <w:rsid w:val="00CC129C"/>
    <w:rsid w:val="00CC660A"/>
    <w:rsid w:val="00CD25D6"/>
    <w:rsid w:val="00CD28BE"/>
    <w:rsid w:val="00CD5898"/>
    <w:rsid w:val="00CD62E2"/>
    <w:rsid w:val="00CE047E"/>
    <w:rsid w:val="00CE1947"/>
    <w:rsid w:val="00CE3D2C"/>
    <w:rsid w:val="00CE3E9A"/>
    <w:rsid w:val="00CE3ECB"/>
    <w:rsid w:val="00CF0191"/>
    <w:rsid w:val="00CF56FB"/>
    <w:rsid w:val="00CF65E1"/>
    <w:rsid w:val="00D01391"/>
    <w:rsid w:val="00D03590"/>
    <w:rsid w:val="00D16171"/>
    <w:rsid w:val="00D21D9B"/>
    <w:rsid w:val="00D2362F"/>
    <w:rsid w:val="00D24BA4"/>
    <w:rsid w:val="00D2507D"/>
    <w:rsid w:val="00D3289A"/>
    <w:rsid w:val="00D35557"/>
    <w:rsid w:val="00D358CC"/>
    <w:rsid w:val="00D37836"/>
    <w:rsid w:val="00D443A2"/>
    <w:rsid w:val="00D50416"/>
    <w:rsid w:val="00D51BF2"/>
    <w:rsid w:val="00D533D3"/>
    <w:rsid w:val="00D53F42"/>
    <w:rsid w:val="00D56657"/>
    <w:rsid w:val="00D62389"/>
    <w:rsid w:val="00D639A6"/>
    <w:rsid w:val="00D63F34"/>
    <w:rsid w:val="00D64258"/>
    <w:rsid w:val="00D64BC3"/>
    <w:rsid w:val="00D659BF"/>
    <w:rsid w:val="00D66002"/>
    <w:rsid w:val="00D66E4D"/>
    <w:rsid w:val="00D705C5"/>
    <w:rsid w:val="00D710CF"/>
    <w:rsid w:val="00D7261A"/>
    <w:rsid w:val="00D74D43"/>
    <w:rsid w:val="00D76D81"/>
    <w:rsid w:val="00D81FBE"/>
    <w:rsid w:val="00D8208C"/>
    <w:rsid w:val="00D85D0E"/>
    <w:rsid w:val="00D87FDB"/>
    <w:rsid w:val="00D9032B"/>
    <w:rsid w:val="00D919C7"/>
    <w:rsid w:val="00D9322B"/>
    <w:rsid w:val="00D940E6"/>
    <w:rsid w:val="00DA064B"/>
    <w:rsid w:val="00DA2107"/>
    <w:rsid w:val="00DA6234"/>
    <w:rsid w:val="00DB06E6"/>
    <w:rsid w:val="00DB0808"/>
    <w:rsid w:val="00DB4DE7"/>
    <w:rsid w:val="00DB5068"/>
    <w:rsid w:val="00DB54CA"/>
    <w:rsid w:val="00DC1F83"/>
    <w:rsid w:val="00DC3CB8"/>
    <w:rsid w:val="00DC57A8"/>
    <w:rsid w:val="00DC7AA8"/>
    <w:rsid w:val="00DD00F0"/>
    <w:rsid w:val="00DD221C"/>
    <w:rsid w:val="00DD230C"/>
    <w:rsid w:val="00DD27E9"/>
    <w:rsid w:val="00DE078B"/>
    <w:rsid w:val="00DE0D6B"/>
    <w:rsid w:val="00DE2692"/>
    <w:rsid w:val="00DE2EA2"/>
    <w:rsid w:val="00DE36FB"/>
    <w:rsid w:val="00DE6EB3"/>
    <w:rsid w:val="00DE7900"/>
    <w:rsid w:val="00DF089B"/>
    <w:rsid w:val="00DF15B9"/>
    <w:rsid w:val="00DF2E7D"/>
    <w:rsid w:val="00DF3068"/>
    <w:rsid w:val="00DF5415"/>
    <w:rsid w:val="00E00420"/>
    <w:rsid w:val="00E023EF"/>
    <w:rsid w:val="00E02C8F"/>
    <w:rsid w:val="00E02E31"/>
    <w:rsid w:val="00E06AD2"/>
    <w:rsid w:val="00E14665"/>
    <w:rsid w:val="00E16CDF"/>
    <w:rsid w:val="00E21C1B"/>
    <w:rsid w:val="00E221B5"/>
    <w:rsid w:val="00E27890"/>
    <w:rsid w:val="00E309AB"/>
    <w:rsid w:val="00E32AB5"/>
    <w:rsid w:val="00E34D11"/>
    <w:rsid w:val="00E37C88"/>
    <w:rsid w:val="00E41B94"/>
    <w:rsid w:val="00E44191"/>
    <w:rsid w:val="00E454CF"/>
    <w:rsid w:val="00E457AD"/>
    <w:rsid w:val="00E470B4"/>
    <w:rsid w:val="00E47BC1"/>
    <w:rsid w:val="00E534E0"/>
    <w:rsid w:val="00E5590D"/>
    <w:rsid w:val="00E55F75"/>
    <w:rsid w:val="00E56DB2"/>
    <w:rsid w:val="00E62296"/>
    <w:rsid w:val="00E63270"/>
    <w:rsid w:val="00E6729B"/>
    <w:rsid w:val="00E70495"/>
    <w:rsid w:val="00E70DD3"/>
    <w:rsid w:val="00E743CD"/>
    <w:rsid w:val="00E7560D"/>
    <w:rsid w:val="00E77BCA"/>
    <w:rsid w:val="00E83365"/>
    <w:rsid w:val="00E85258"/>
    <w:rsid w:val="00E853AD"/>
    <w:rsid w:val="00E857AE"/>
    <w:rsid w:val="00E86E97"/>
    <w:rsid w:val="00E9208A"/>
    <w:rsid w:val="00E930FE"/>
    <w:rsid w:val="00E9491B"/>
    <w:rsid w:val="00E965F4"/>
    <w:rsid w:val="00EA25B7"/>
    <w:rsid w:val="00EA65FA"/>
    <w:rsid w:val="00EB0908"/>
    <w:rsid w:val="00EB27EF"/>
    <w:rsid w:val="00EB4BA5"/>
    <w:rsid w:val="00EB4C3D"/>
    <w:rsid w:val="00EB7DF8"/>
    <w:rsid w:val="00EC172B"/>
    <w:rsid w:val="00EC5059"/>
    <w:rsid w:val="00EC6625"/>
    <w:rsid w:val="00EC7E50"/>
    <w:rsid w:val="00ED1DF5"/>
    <w:rsid w:val="00ED2185"/>
    <w:rsid w:val="00ED5614"/>
    <w:rsid w:val="00EE048C"/>
    <w:rsid w:val="00EE2AD3"/>
    <w:rsid w:val="00EE3983"/>
    <w:rsid w:val="00EE3DBD"/>
    <w:rsid w:val="00EE435B"/>
    <w:rsid w:val="00EE6C20"/>
    <w:rsid w:val="00EE75C9"/>
    <w:rsid w:val="00EF085E"/>
    <w:rsid w:val="00EF27EE"/>
    <w:rsid w:val="00EF359E"/>
    <w:rsid w:val="00EF54B2"/>
    <w:rsid w:val="00EF6816"/>
    <w:rsid w:val="00EF7E53"/>
    <w:rsid w:val="00F02785"/>
    <w:rsid w:val="00F03844"/>
    <w:rsid w:val="00F03B64"/>
    <w:rsid w:val="00F0606B"/>
    <w:rsid w:val="00F0715C"/>
    <w:rsid w:val="00F10832"/>
    <w:rsid w:val="00F14AE0"/>
    <w:rsid w:val="00F14FCA"/>
    <w:rsid w:val="00F1707A"/>
    <w:rsid w:val="00F213AB"/>
    <w:rsid w:val="00F23C30"/>
    <w:rsid w:val="00F26B50"/>
    <w:rsid w:val="00F30225"/>
    <w:rsid w:val="00F312BC"/>
    <w:rsid w:val="00F32803"/>
    <w:rsid w:val="00F347DE"/>
    <w:rsid w:val="00F34E1B"/>
    <w:rsid w:val="00F351AD"/>
    <w:rsid w:val="00F3590E"/>
    <w:rsid w:val="00F420D5"/>
    <w:rsid w:val="00F43A85"/>
    <w:rsid w:val="00F45C38"/>
    <w:rsid w:val="00F47E99"/>
    <w:rsid w:val="00F50406"/>
    <w:rsid w:val="00F53FE5"/>
    <w:rsid w:val="00F5468C"/>
    <w:rsid w:val="00F61C7B"/>
    <w:rsid w:val="00F6345E"/>
    <w:rsid w:val="00F64BB1"/>
    <w:rsid w:val="00F71092"/>
    <w:rsid w:val="00F7146B"/>
    <w:rsid w:val="00F71C19"/>
    <w:rsid w:val="00F721D0"/>
    <w:rsid w:val="00F73423"/>
    <w:rsid w:val="00F742E1"/>
    <w:rsid w:val="00F75347"/>
    <w:rsid w:val="00F754A2"/>
    <w:rsid w:val="00F759E6"/>
    <w:rsid w:val="00F81698"/>
    <w:rsid w:val="00F83CF5"/>
    <w:rsid w:val="00F861D7"/>
    <w:rsid w:val="00F92E3D"/>
    <w:rsid w:val="00F94721"/>
    <w:rsid w:val="00F95A6A"/>
    <w:rsid w:val="00F96A44"/>
    <w:rsid w:val="00FA0033"/>
    <w:rsid w:val="00FA1430"/>
    <w:rsid w:val="00FA37F1"/>
    <w:rsid w:val="00FB3069"/>
    <w:rsid w:val="00FB640C"/>
    <w:rsid w:val="00FC03ED"/>
    <w:rsid w:val="00FC1F4F"/>
    <w:rsid w:val="00FC4833"/>
    <w:rsid w:val="00FC4A28"/>
    <w:rsid w:val="00FC4DC9"/>
    <w:rsid w:val="00FC6A25"/>
    <w:rsid w:val="00FC7FEE"/>
    <w:rsid w:val="00FD0880"/>
    <w:rsid w:val="00FD0AC3"/>
    <w:rsid w:val="00FD253D"/>
    <w:rsid w:val="00FD4B8E"/>
    <w:rsid w:val="00FD7079"/>
    <w:rsid w:val="00FE4022"/>
    <w:rsid w:val="00FE4C3F"/>
    <w:rsid w:val="00FF69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atentStyles>
  <w:style w:type="paragraph" w:default="1" w:styleId="a">
    <w:name w:val="Normal"/>
    <w:qFormat/>
    <w:rsid w:val="007578A4"/>
  </w:style>
  <w:style w:type="paragraph" w:styleId="1">
    <w:name w:val="heading 1"/>
    <w:basedOn w:val="a"/>
    <w:next w:val="a"/>
    <w:link w:val="10"/>
    <w:rsid w:val="0040506F"/>
    <w:pPr>
      <w:keepNext/>
      <w:keepLines/>
      <w:spacing w:before="480"/>
      <w:outlineLvl w:val="0"/>
    </w:pPr>
    <w:rPr>
      <w:rFonts w:ascii="Arial" w:eastAsiaTheme="majorEastAsia" w:hAnsi="Arial" w:cstheme="majorBidi"/>
      <w:b/>
      <w:bCs/>
      <w:color w:val="000000" w:themeColor="text1"/>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DD3"/>
    <w:rPr>
      <w:rFonts w:ascii="Lucida Grande" w:hAnsi="Lucida Grande"/>
      <w:sz w:val="18"/>
      <w:szCs w:val="18"/>
    </w:rPr>
  </w:style>
  <w:style w:type="character" w:customStyle="1" w:styleId="SprechblasentextZeichen">
    <w:name w:val="Sprechblasentext Zeichen"/>
    <w:basedOn w:val="a0"/>
    <w:uiPriority w:val="99"/>
    <w:semiHidden/>
    <w:rsid w:val="00290325"/>
    <w:rPr>
      <w:rFonts w:ascii="Lucida Grande" w:hAnsi="Lucida Grande"/>
      <w:sz w:val="18"/>
      <w:szCs w:val="18"/>
    </w:rPr>
  </w:style>
  <w:style w:type="character" w:customStyle="1" w:styleId="SprechblasentextZeichen0">
    <w:name w:val="Sprechblasentext Zeichen"/>
    <w:basedOn w:val="a0"/>
    <w:uiPriority w:val="99"/>
    <w:semiHidden/>
    <w:rsid w:val="00290325"/>
    <w:rPr>
      <w:rFonts w:ascii="Lucida Grande" w:hAnsi="Lucida Grande"/>
      <w:sz w:val="18"/>
      <w:szCs w:val="18"/>
    </w:rPr>
  </w:style>
  <w:style w:type="character" w:customStyle="1" w:styleId="SprechblasentextZeichen1">
    <w:name w:val="Sprechblasentext Zeichen"/>
    <w:basedOn w:val="a0"/>
    <w:uiPriority w:val="99"/>
    <w:semiHidden/>
    <w:rsid w:val="00290325"/>
    <w:rPr>
      <w:rFonts w:ascii="Lucida Grande" w:hAnsi="Lucida Grande"/>
      <w:sz w:val="18"/>
      <w:szCs w:val="18"/>
    </w:rPr>
  </w:style>
  <w:style w:type="character" w:customStyle="1" w:styleId="SprechblasentextZeichen2">
    <w:name w:val="Sprechblasentext Zeichen"/>
    <w:basedOn w:val="a0"/>
    <w:uiPriority w:val="99"/>
    <w:semiHidden/>
    <w:rsid w:val="00290325"/>
    <w:rPr>
      <w:rFonts w:ascii="Lucida Grande" w:hAnsi="Lucida Grande"/>
      <w:sz w:val="18"/>
      <w:szCs w:val="18"/>
    </w:rPr>
  </w:style>
  <w:style w:type="character" w:customStyle="1" w:styleId="SprechblasentextZeichen3">
    <w:name w:val="Sprechblasentext Zeichen"/>
    <w:basedOn w:val="a0"/>
    <w:uiPriority w:val="99"/>
    <w:semiHidden/>
    <w:rsid w:val="00290325"/>
    <w:rPr>
      <w:rFonts w:ascii="Lucida Grande" w:hAnsi="Lucida Grande"/>
      <w:sz w:val="18"/>
      <w:szCs w:val="18"/>
    </w:rPr>
  </w:style>
  <w:style w:type="character" w:customStyle="1" w:styleId="SprechblasentextZeichen4">
    <w:name w:val="Sprechblasentext Zeichen"/>
    <w:basedOn w:val="a0"/>
    <w:uiPriority w:val="99"/>
    <w:semiHidden/>
    <w:rsid w:val="00290325"/>
    <w:rPr>
      <w:rFonts w:ascii="Lucida Grande" w:hAnsi="Lucida Grande"/>
      <w:sz w:val="18"/>
      <w:szCs w:val="18"/>
    </w:rPr>
  </w:style>
  <w:style w:type="character" w:customStyle="1" w:styleId="SprechblasentextZeichen5">
    <w:name w:val="Sprechblasentext Zeichen"/>
    <w:basedOn w:val="a0"/>
    <w:uiPriority w:val="99"/>
    <w:semiHidden/>
    <w:rsid w:val="00290325"/>
    <w:rPr>
      <w:rFonts w:ascii="Lucida Grande" w:hAnsi="Lucida Grande"/>
      <w:sz w:val="18"/>
      <w:szCs w:val="18"/>
    </w:rPr>
  </w:style>
  <w:style w:type="character" w:customStyle="1" w:styleId="SprechblasentextZeichen6">
    <w:name w:val="Sprechblasentext Zeichen"/>
    <w:basedOn w:val="a0"/>
    <w:uiPriority w:val="99"/>
    <w:semiHidden/>
    <w:rsid w:val="00290325"/>
    <w:rPr>
      <w:rFonts w:ascii="Lucida Grande" w:hAnsi="Lucida Grande"/>
      <w:sz w:val="18"/>
      <w:szCs w:val="18"/>
    </w:rPr>
  </w:style>
  <w:style w:type="character" w:customStyle="1" w:styleId="SprechblasentextZeichen7">
    <w:name w:val="Sprechblasentext Zeichen"/>
    <w:basedOn w:val="a0"/>
    <w:uiPriority w:val="99"/>
    <w:semiHidden/>
    <w:rsid w:val="00290325"/>
    <w:rPr>
      <w:rFonts w:ascii="Lucida Grande" w:hAnsi="Lucida Grande"/>
      <w:sz w:val="18"/>
      <w:szCs w:val="18"/>
    </w:rPr>
  </w:style>
  <w:style w:type="character" w:customStyle="1" w:styleId="SprechblasentextZeichen8">
    <w:name w:val="Sprechblasentext Zeichen"/>
    <w:basedOn w:val="a0"/>
    <w:uiPriority w:val="99"/>
    <w:semiHidden/>
    <w:rsid w:val="00290325"/>
    <w:rPr>
      <w:rFonts w:ascii="Lucida Grande" w:hAnsi="Lucida Grande"/>
      <w:sz w:val="18"/>
      <w:szCs w:val="18"/>
    </w:rPr>
  </w:style>
  <w:style w:type="character" w:customStyle="1" w:styleId="SprechblasentextZeichen9">
    <w:name w:val="Sprechblasentext Zeichen"/>
    <w:basedOn w:val="a0"/>
    <w:uiPriority w:val="99"/>
    <w:semiHidden/>
    <w:rsid w:val="008566F9"/>
    <w:rPr>
      <w:rFonts w:ascii="Lucida Grande" w:hAnsi="Lucida Grande"/>
      <w:sz w:val="18"/>
      <w:szCs w:val="18"/>
    </w:rPr>
  </w:style>
  <w:style w:type="character" w:customStyle="1" w:styleId="SprechblasentextZeichena">
    <w:name w:val="Sprechblasentext Zeichen"/>
    <w:basedOn w:val="a0"/>
    <w:uiPriority w:val="99"/>
    <w:semiHidden/>
    <w:rsid w:val="008566F9"/>
    <w:rPr>
      <w:rFonts w:ascii="Lucida Grande" w:hAnsi="Lucida Grande"/>
      <w:sz w:val="18"/>
      <w:szCs w:val="18"/>
    </w:rPr>
  </w:style>
  <w:style w:type="character" w:customStyle="1" w:styleId="SprechblasentextZeichenb">
    <w:name w:val="Sprechblasentext Zeichen"/>
    <w:basedOn w:val="a0"/>
    <w:uiPriority w:val="99"/>
    <w:semiHidden/>
    <w:rsid w:val="008566F9"/>
    <w:rPr>
      <w:rFonts w:ascii="Lucida Grande" w:hAnsi="Lucida Grande"/>
      <w:sz w:val="18"/>
      <w:szCs w:val="18"/>
    </w:rPr>
  </w:style>
  <w:style w:type="character" w:customStyle="1" w:styleId="SprechblasentextZeichenc">
    <w:name w:val="Sprechblasentext Zeichen"/>
    <w:basedOn w:val="a0"/>
    <w:uiPriority w:val="99"/>
    <w:semiHidden/>
    <w:rsid w:val="006968C0"/>
    <w:rPr>
      <w:rFonts w:ascii="Lucida Grande" w:hAnsi="Lucida Grande"/>
      <w:sz w:val="18"/>
      <w:szCs w:val="18"/>
    </w:rPr>
  </w:style>
  <w:style w:type="character" w:customStyle="1" w:styleId="SprechblasentextZeichend">
    <w:name w:val="Sprechblasentext Zeichen"/>
    <w:basedOn w:val="a0"/>
    <w:uiPriority w:val="99"/>
    <w:semiHidden/>
    <w:rsid w:val="004948EE"/>
    <w:rPr>
      <w:rFonts w:ascii="Lucida Grande" w:hAnsi="Lucida Grande"/>
      <w:sz w:val="18"/>
      <w:szCs w:val="18"/>
    </w:rPr>
  </w:style>
  <w:style w:type="character" w:customStyle="1" w:styleId="SprechblasentextZeichene">
    <w:name w:val="Sprechblasentext Zeichen"/>
    <w:basedOn w:val="a0"/>
    <w:uiPriority w:val="99"/>
    <w:semiHidden/>
    <w:rsid w:val="00131164"/>
    <w:rPr>
      <w:rFonts w:ascii="Lucida Grande" w:hAnsi="Lucida Grande"/>
      <w:sz w:val="18"/>
      <w:szCs w:val="18"/>
    </w:rPr>
  </w:style>
  <w:style w:type="character" w:customStyle="1" w:styleId="SprechblasentextZeichenf">
    <w:name w:val="Sprechblasentext Zeichen"/>
    <w:basedOn w:val="a0"/>
    <w:uiPriority w:val="99"/>
    <w:semiHidden/>
    <w:rsid w:val="00131164"/>
    <w:rPr>
      <w:rFonts w:ascii="Lucida Grande" w:hAnsi="Lucida Grande"/>
      <w:sz w:val="18"/>
      <w:szCs w:val="18"/>
    </w:rPr>
  </w:style>
  <w:style w:type="character" w:customStyle="1" w:styleId="SprechblasentextZeichenf0">
    <w:name w:val="Sprechblasentext Zeichen"/>
    <w:basedOn w:val="a0"/>
    <w:uiPriority w:val="99"/>
    <w:semiHidden/>
    <w:rsid w:val="00E8173D"/>
    <w:rPr>
      <w:rFonts w:ascii="Lucida Grande" w:hAnsi="Lucida Grande"/>
      <w:sz w:val="18"/>
      <w:szCs w:val="18"/>
    </w:rPr>
  </w:style>
  <w:style w:type="paragraph" w:styleId="a5">
    <w:name w:val="footnote text"/>
    <w:basedOn w:val="a"/>
    <w:link w:val="a6"/>
    <w:rsid w:val="00E85258"/>
  </w:style>
  <w:style w:type="character" w:customStyle="1" w:styleId="a6">
    <w:name w:val="Текст сноски Знак"/>
    <w:basedOn w:val="a0"/>
    <w:link w:val="a5"/>
    <w:rsid w:val="00E85258"/>
  </w:style>
  <w:style w:type="character" w:styleId="a7">
    <w:name w:val="footnote reference"/>
    <w:aliases w:val="ftref,4_G,fr,Footnote Reference Number,16 Point,Superscript 6 Point,BVI fnr,BVI fnr Car Car,BVI fnr Car,BVI fnr Car Car Car Car,Footnote text,Footnote number,Ref,de nota al pie"/>
    <w:basedOn w:val="a0"/>
    <w:rsid w:val="00E85258"/>
    <w:rPr>
      <w:vertAlign w:val="superscript"/>
    </w:rPr>
  </w:style>
  <w:style w:type="table" w:styleId="a8">
    <w:name w:val="Table Grid"/>
    <w:basedOn w:val="a1"/>
    <w:uiPriority w:val="59"/>
    <w:rsid w:val="00A35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rsid w:val="00E70DD3"/>
    <w:rPr>
      <w:sz w:val="18"/>
      <w:szCs w:val="18"/>
    </w:rPr>
  </w:style>
  <w:style w:type="paragraph" w:styleId="aa">
    <w:name w:val="annotation text"/>
    <w:basedOn w:val="a"/>
    <w:link w:val="ab"/>
    <w:rsid w:val="00E70DD3"/>
  </w:style>
  <w:style w:type="character" w:customStyle="1" w:styleId="ab">
    <w:name w:val="Текст примечания Знак"/>
    <w:basedOn w:val="a0"/>
    <w:link w:val="aa"/>
    <w:rsid w:val="00E70DD3"/>
  </w:style>
  <w:style w:type="paragraph" w:styleId="ac">
    <w:name w:val="annotation subject"/>
    <w:basedOn w:val="aa"/>
    <w:next w:val="aa"/>
    <w:link w:val="ad"/>
    <w:rsid w:val="00E70DD3"/>
    <w:rPr>
      <w:b/>
      <w:bCs/>
      <w:sz w:val="20"/>
      <w:szCs w:val="20"/>
    </w:rPr>
  </w:style>
  <w:style w:type="character" w:customStyle="1" w:styleId="ad">
    <w:name w:val="Тема примечания Знак"/>
    <w:basedOn w:val="ab"/>
    <w:link w:val="ac"/>
    <w:rsid w:val="00E70DD3"/>
    <w:rPr>
      <w:b/>
      <w:bCs/>
      <w:sz w:val="20"/>
      <w:szCs w:val="20"/>
    </w:rPr>
  </w:style>
  <w:style w:type="character" w:customStyle="1" w:styleId="a4">
    <w:name w:val="Текст выноски Знак"/>
    <w:basedOn w:val="a0"/>
    <w:link w:val="a3"/>
    <w:rsid w:val="00E70DD3"/>
    <w:rPr>
      <w:rFonts w:ascii="Lucida Grande" w:hAnsi="Lucida Grande"/>
      <w:sz w:val="18"/>
      <w:szCs w:val="18"/>
    </w:rPr>
  </w:style>
  <w:style w:type="paragraph" w:styleId="ae">
    <w:name w:val="List Paragraph"/>
    <w:basedOn w:val="a"/>
    <w:qFormat/>
    <w:rsid w:val="00E6729B"/>
    <w:pPr>
      <w:ind w:left="720"/>
      <w:contextualSpacing/>
    </w:pPr>
  </w:style>
  <w:style w:type="character" w:styleId="af">
    <w:name w:val="Hyperlink"/>
    <w:basedOn w:val="a0"/>
    <w:rsid w:val="004F235E"/>
    <w:rPr>
      <w:color w:val="0000FF" w:themeColor="hyperlink"/>
      <w:u w:val="single"/>
    </w:rPr>
  </w:style>
  <w:style w:type="paragraph" w:customStyle="1" w:styleId="Default">
    <w:name w:val="Default"/>
    <w:rsid w:val="00433401"/>
    <w:pPr>
      <w:widowControl w:val="0"/>
      <w:autoSpaceDE w:val="0"/>
      <w:autoSpaceDN w:val="0"/>
      <w:adjustRightInd w:val="0"/>
    </w:pPr>
    <w:rPr>
      <w:rFonts w:ascii="Times New Roman" w:eastAsia="Cambria" w:hAnsi="Times New Roman" w:cs="Times New Roman"/>
      <w:color w:val="000000"/>
      <w:lang w:val="de-DE"/>
    </w:rPr>
  </w:style>
  <w:style w:type="paragraph" w:styleId="af0">
    <w:name w:val="header"/>
    <w:basedOn w:val="a"/>
    <w:link w:val="af1"/>
    <w:rsid w:val="004023DA"/>
    <w:pPr>
      <w:tabs>
        <w:tab w:val="center" w:pos="4536"/>
        <w:tab w:val="right" w:pos="9072"/>
      </w:tabs>
    </w:pPr>
  </w:style>
  <w:style w:type="character" w:customStyle="1" w:styleId="af1">
    <w:name w:val="Верхний колонтитул Знак"/>
    <w:basedOn w:val="a0"/>
    <w:link w:val="af0"/>
    <w:rsid w:val="004023DA"/>
  </w:style>
  <w:style w:type="paragraph" w:styleId="af2">
    <w:name w:val="footer"/>
    <w:basedOn w:val="a"/>
    <w:link w:val="af3"/>
    <w:rsid w:val="004023DA"/>
    <w:pPr>
      <w:tabs>
        <w:tab w:val="center" w:pos="4536"/>
        <w:tab w:val="right" w:pos="9072"/>
      </w:tabs>
    </w:pPr>
  </w:style>
  <w:style w:type="character" w:customStyle="1" w:styleId="af3">
    <w:name w:val="Нижний колонтитул Знак"/>
    <w:basedOn w:val="a0"/>
    <w:link w:val="af2"/>
    <w:rsid w:val="004023DA"/>
  </w:style>
  <w:style w:type="character" w:styleId="af4">
    <w:name w:val="FollowedHyperlink"/>
    <w:basedOn w:val="a0"/>
    <w:rsid w:val="00AE0C0D"/>
    <w:rPr>
      <w:color w:val="800080" w:themeColor="followedHyperlink"/>
      <w:u w:val="single"/>
    </w:rPr>
  </w:style>
  <w:style w:type="character" w:styleId="af5">
    <w:name w:val="page number"/>
    <w:basedOn w:val="a0"/>
    <w:rsid w:val="00544D20"/>
  </w:style>
  <w:style w:type="paragraph" w:styleId="11">
    <w:name w:val="toc 1"/>
    <w:basedOn w:val="a"/>
    <w:next w:val="a"/>
    <w:autoRedefine/>
    <w:uiPriority w:val="39"/>
    <w:rsid w:val="00DE6EB3"/>
  </w:style>
  <w:style w:type="character" w:customStyle="1" w:styleId="10">
    <w:name w:val="Заголовок 1 Знак"/>
    <w:basedOn w:val="a0"/>
    <w:link w:val="1"/>
    <w:rsid w:val="0040506F"/>
    <w:rPr>
      <w:rFonts w:ascii="Arial" w:eastAsiaTheme="majorEastAsia" w:hAnsi="Arial" w:cstheme="majorBidi"/>
      <w:b/>
      <w:bCs/>
      <w:color w:val="000000" w:themeColor="text1"/>
      <w:sz w:val="22"/>
      <w:szCs w:val="32"/>
    </w:rPr>
  </w:style>
  <w:style w:type="paragraph" w:styleId="2">
    <w:name w:val="toc 2"/>
    <w:basedOn w:val="a"/>
    <w:next w:val="a"/>
    <w:autoRedefine/>
    <w:rsid w:val="00DE6EB3"/>
    <w:pPr>
      <w:ind w:left="240"/>
    </w:pPr>
  </w:style>
  <w:style w:type="paragraph" w:styleId="3">
    <w:name w:val="toc 3"/>
    <w:basedOn w:val="a"/>
    <w:next w:val="a"/>
    <w:autoRedefine/>
    <w:rsid w:val="00DE6EB3"/>
    <w:pPr>
      <w:ind w:left="480"/>
    </w:pPr>
  </w:style>
  <w:style w:type="paragraph" w:styleId="4">
    <w:name w:val="toc 4"/>
    <w:basedOn w:val="a"/>
    <w:next w:val="a"/>
    <w:autoRedefine/>
    <w:rsid w:val="00DE6EB3"/>
    <w:pPr>
      <w:ind w:left="720"/>
    </w:pPr>
  </w:style>
  <w:style w:type="paragraph" w:styleId="5">
    <w:name w:val="toc 5"/>
    <w:basedOn w:val="a"/>
    <w:next w:val="a"/>
    <w:autoRedefine/>
    <w:rsid w:val="00DE6EB3"/>
    <w:pPr>
      <w:ind w:left="960"/>
    </w:pPr>
  </w:style>
  <w:style w:type="paragraph" w:styleId="6">
    <w:name w:val="toc 6"/>
    <w:basedOn w:val="a"/>
    <w:next w:val="a"/>
    <w:autoRedefine/>
    <w:rsid w:val="00DE6EB3"/>
    <w:pPr>
      <w:ind w:left="1200"/>
    </w:pPr>
  </w:style>
  <w:style w:type="paragraph" w:styleId="7">
    <w:name w:val="toc 7"/>
    <w:basedOn w:val="a"/>
    <w:next w:val="a"/>
    <w:autoRedefine/>
    <w:rsid w:val="00DE6EB3"/>
    <w:pPr>
      <w:ind w:left="1440"/>
    </w:pPr>
  </w:style>
  <w:style w:type="paragraph" w:styleId="8">
    <w:name w:val="toc 8"/>
    <w:basedOn w:val="a"/>
    <w:next w:val="a"/>
    <w:autoRedefine/>
    <w:rsid w:val="00DE6EB3"/>
    <w:pPr>
      <w:ind w:left="1680"/>
    </w:pPr>
  </w:style>
  <w:style w:type="paragraph" w:styleId="9">
    <w:name w:val="toc 9"/>
    <w:basedOn w:val="a"/>
    <w:next w:val="a"/>
    <w:autoRedefine/>
    <w:rsid w:val="00DE6EB3"/>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atentStyles>
  <w:style w:type="paragraph" w:default="1" w:styleId="a">
    <w:name w:val="Normal"/>
    <w:qFormat/>
    <w:rsid w:val="007578A4"/>
  </w:style>
  <w:style w:type="paragraph" w:styleId="1">
    <w:name w:val="heading 1"/>
    <w:basedOn w:val="a"/>
    <w:next w:val="a"/>
    <w:link w:val="10"/>
    <w:rsid w:val="0040506F"/>
    <w:pPr>
      <w:keepNext/>
      <w:keepLines/>
      <w:spacing w:before="480"/>
      <w:outlineLvl w:val="0"/>
    </w:pPr>
    <w:rPr>
      <w:rFonts w:ascii="Arial" w:eastAsiaTheme="majorEastAsia" w:hAnsi="Arial" w:cstheme="majorBidi"/>
      <w:b/>
      <w:bCs/>
      <w:color w:val="000000" w:themeColor="text1"/>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70DD3"/>
    <w:rPr>
      <w:rFonts w:ascii="Lucida Grande" w:hAnsi="Lucida Grande"/>
      <w:sz w:val="18"/>
      <w:szCs w:val="18"/>
    </w:rPr>
  </w:style>
  <w:style w:type="character" w:customStyle="1" w:styleId="SprechblasentextZeichen">
    <w:name w:val="Sprechblasentext Zeichen"/>
    <w:basedOn w:val="a0"/>
    <w:uiPriority w:val="99"/>
    <w:semiHidden/>
    <w:rsid w:val="00290325"/>
    <w:rPr>
      <w:rFonts w:ascii="Lucida Grande" w:hAnsi="Lucida Grande"/>
      <w:sz w:val="18"/>
      <w:szCs w:val="18"/>
    </w:rPr>
  </w:style>
  <w:style w:type="character" w:customStyle="1" w:styleId="SprechblasentextZeichen0">
    <w:name w:val="Sprechblasentext Zeichen"/>
    <w:basedOn w:val="a0"/>
    <w:uiPriority w:val="99"/>
    <w:semiHidden/>
    <w:rsid w:val="00290325"/>
    <w:rPr>
      <w:rFonts w:ascii="Lucida Grande" w:hAnsi="Lucida Grande"/>
      <w:sz w:val="18"/>
      <w:szCs w:val="18"/>
    </w:rPr>
  </w:style>
  <w:style w:type="character" w:customStyle="1" w:styleId="SprechblasentextZeichen1">
    <w:name w:val="Sprechblasentext Zeichen"/>
    <w:basedOn w:val="a0"/>
    <w:uiPriority w:val="99"/>
    <w:semiHidden/>
    <w:rsid w:val="00290325"/>
    <w:rPr>
      <w:rFonts w:ascii="Lucida Grande" w:hAnsi="Lucida Grande"/>
      <w:sz w:val="18"/>
      <w:szCs w:val="18"/>
    </w:rPr>
  </w:style>
  <w:style w:type="character" w:customStyle="1" w:styleId="SprechblasentextZeichen2">
    <w:name w:val="Sprechblasentext Zeichen"/>
    <w:basedOn w:val="a0"/>
    <w:uiPriority w:val="99"/>
    <w:semiHidden/>
    <w:rsid w:val="00290325"/>
    <w:rPr>
      <w:rFonts w:ascii="Lucida Grande" w:hAnsi="Lucida Grande"/>
      <w:sz w:val="18"/>
      <w:szCs w:val="18"/>
    </w:rPr>
  </w:style>
  <w:style w:type="character" w:customStyle="1" w:styleId="SprechblasentextZeichen3">
    <w:name w:val="Sprechblasentext Zeichen"/>
    <w:basedOn w:val="a0"/>
    <w:uiPriority w:val="99"/>
    <w:semiHidden/>
    <w:rsid w:val="00290325"/>
    <w:rPr>
      <w:rFonts w:ascii="Lucida Grande" w:hAnsi="Lucida Grande"/>
      <w:sz w:val="18"/>
      <w:szCs w:val="18"/>
    </w:rPr>
  </w:style>
  <w:style w:type="character" w:customStyle="1" w:styleId="SprechblasentextZeichen4">
    <w:name w:val="Sprechblasentext Zeichen"/>
    <w:basedOn w:val="a0"/>
    <w:uiPriority w:val="99"/>
    <w:semiHidden/>
    <w:rsid w:val="00290325"/>
    <w:rPr>
      <w:rFonts w:ascii="Lucida Grande" w:hAnsi="Lucida Grande"/>
      <w:sz w:val="18"/>
      <w:szCs w:val="18"/>
    </w:rPr>
  </w:style>
  <w:style w:type="character" w:customStyle="1" w:styleId="SprechblasentextZeichen5">
    <w:name w:val="Sprechblasentext Zeichen"/>
    <w:basedOn w:val="a0"/>
    <w:uiPriority w:val="99"/>
    <w:semiHidden/>
    <w:rsid w:val="00290325"/>
    <w:rPr>
      <w:rFonts w:ascii="Lucida Grande" w:hAnsi="Lucida Grande"/>
      <w:sz w:val="18"/>
      <w:szCs w:val="18"/>
    </w:rPr>
  </w:style>
  <w:style w:type="character" w:customStyle="1" w:styleId="SprechblasentextZeichen6">
    <w:name w:val="Sprechblasentext Zeichen"/>
    <w:basedOn w:val="a0"/>
    <w:uiPriority w:val="99"/>
    <w:semiHidden/>
    <w:rsid w:val="00290325"/>
    <w:rPr>
      <w:rFonts w:ascii="Lucida Grande" w:hAnsi="Lucida Grande"/>
      <w:sz w:val="18"/>
      <w:szCs w:val="18"/>
    </w:rPr>
  </w:style>
  <w:style w:type="character" w:customStyle="1" w:styleId="SprechblasentextZeichen7">
    <w:name w:val="Sprechblasentext Zeichen"/>
    <w:basedOn w:val="a0"/>
    <w:uiPriority w:val="99"/>
    <w:semiHidden/>
    <w:rsid w:val="00290325"/>
    <w:rPr>
      <w:rFonts w:ascii="Lucida Grande" w:hAnsi="Lucida Grande"/>
      <w:sz w:val="18"/>
      <w:szCs w:val="18"/>
    </w:rPr>
  </w:style>
  <w:style w:type="character" w:customStyle="1" w:styleId="SprechblasentextZeichen8">
    <w:name w:val="Sprechblasentext Zeichen"/>
    <w:basedOn w:val="a0"/>
    <w:uiPriority w:val="99"/>
    <w:semiHidden/>
    <w:rsid w:val="00290325"/>
    <w:rPr>
      <w:rFonts w:ascii="Lucida Grande" w:hAnsi="Lucida Grande"/>
      <w:sz w:val="18"/>
      <w:szCs w:val="18"/>
    </w:rPr>
  </w:style>
  <w:style w:type="character" w:customStyle="1" w:styleId="SprechblasentextZeichen9">
    <w:name w:val="Sprechblasentext Zeichen"/>
    <w:basedOn w:val="a0"/>
    <w:uiPriority w:val="99"/>
    <w:semiHidden/>
    <w:rsid w:val="008566F9"/>
    <w:rPr>
      <w:rFonts w:ascii="Lucida Grande" w:hAnsi="Lucida Grande"/>
      <w:sz w:val="18"/>
      <w:szCs w:val="18"/>
    </w:rPr>
  </w:style>
  <w:style w:type="character" w:customStyle="1" w:styleId="SprechblasentextZeichena">
    <w:name w:val="Sprechblasentext Zeichen"/>
    <w:basedOn w:val="a0"/>
    <w:uiPriority w:val="99"/>
    <w:semiHidden/>
    <w:rsid w:val="008566F9"/>
    <w:rPr>
      <w:rFonts w:ascii="Lucida Grande" w:hAnsi="Lucida Grande"/>
      <w:sz w:val="18"/>
      <w:szCs w:val="18"/>
    </w:rPr>
  </w:style>
  <w:style w:type="character" w:customStyle="1" w:styleId="SprechblasentextZeichenb">
    <w:name w:val="Sprechblasentext Zeichen"/>
    <w:basedOn w:val="a0"/>
    <w:uiPriority w:val="99"/>
    <w:semiHidden/>
    <w:rsid w:val="008566F9"/>
    <w:rPr>
      <w:rFonts w:ascii="Lucida Grande" w:hAnsi="Lucida Grande"/>
      <w:sz w:val="18"/>
      <w:szCs w:val="18"/>
    </w:rPr>
  </w:style>
  <w:style w:type="character" w:customStyle="1" w:styleId="SprechblasentextZeichenc">
    <w:name w:val="Sprechblasentext Zeichen"/>
    <w:basedOn w:val="a0"/>
    <w:uiPriority w:val="99"/>
    <w:semiHidden/>
    <w:rsid w:val="006968C0"/>
    <w:rPr>
      <w:rFonts w:ascii="Lucida Grande" w:hAnsi="Lucida Grande"/>
      <w:sz w:val="18"/>
      <w:szCs w:val="18"/>
    </w:rPr>
  </w:style>
  <w:style w:type="character" w:customStyle="1" w:styleId="SprechblasentextZeichend">
    <w:name w:val="Sprechblasentext Zeichen"/>
    <w:basedOn w:val="a0"/>
    <w:uiPriority w:val="99"/>
    <w:semiHidden/>
    <w:rsid w:val="004948EE"/>
    <w:rPr>
      <w:rFonts w:ascii="Lucida Grande" w:hAnsi="Lucida Grande"/>
      <w:sz w:val="18"/>
      <w:szCs w:val="18"/>
    </w:rPr>
  </w:style>
  <w:style w:type="character" w:customStyle="1" w:styleId="SprechblasentextZeichene">
    <w:name w:val="Sprechblasentext Zeichen"/>
    <w:basedOn w:val="a0"/>
    <w:uiPriority w:val="99"/>
    <w:semiHidden/>
    <w:rsid w:val="00131164"/>
    <w:rPr>
      <w:rFonts w:ascii="Lucida Grande" w:hAnsi="Lucida Grande"/>
      <w:sz w:val="18"/>
      <w:szCs w:val="18"/>
    </w:rPr>
  </w:style>
  <w:style w:type="character" w:customStyle="1" w:styleId="SprechblasentextZeichenf">
    <w:name w:val="Sprechblasentext Zeichen"/>
    <w:basedOn w:val="a0"/>
    <w:uiPriority w:val="99"/>
    <w:semiHidden/>
    <w:rsid w:val="00131164"/>
    <w:rPr>
      <w:rFonts w:ascii="Lucida Grande" w:hAnsi="Lucida Grande"/>
      <w:sz w:val="18"/>
      <w:szCs w:val="18"/>
    </w:rPr>
  </w:style>
  <w:style w:type="character" w:customStyle="1" w:styleId="SprechblasentextZeichenf0">
    <w:name w:val="Sprechblasentext Zeichen"/>
    <w:basedOn w:val="a0"/>
    <w:uiPriority w:val="99"/>
    <w:semiHidden/>
    <w:rsid w:val="00E8173D"/>
    <w:rPr>
      <w:rFonts w:ascii="Lucida Grande" w:hAnsi="Lucida Grande"/>
      <w:sz w:val="18"/>
      <w:szCs w:val="18"/>
    </w:rPr>
  </w:style>
  <w:style w:type="paragraph" w:styleId="a5">
    <w:name w:val="footnote text"/>
    <w:basedOn w:val="a"/>
    <w:link w:val="a6"/>
    <w:rsid w:val="00E85258"/>
  </w:style>
  <w:style w:type="character" w:customStyle="1" w:styleId="a6">
    <w:name w:val="Текст сноски Знак"/>
    <w:basedOn w:val="a0"/>
    <w:link w:val="a5"/>
    <w:rsid w:val="00E85258"/>
  </w:style>
  <w:style w:type="character" w:styleId="a7">
    <w:name w:val="footnote reference"/>
    <w:aliases w:val="ftref,4_G,fr,Footnote Reference Number,16 Point,Superscript 6 Point,BVI fnr,BVI fnr Car Car,BVI fnr Car,BVI fnr Car Car Car Car,Footnote text,Footnote number,Ref,de nota al pie"/>
    <w:basedOn w:val="a0"/>
    <w:rsid w:val="00E85258"/>
    <w:rPr>
      <w:vertAlign w:val="superscript"/>
    </w:rPr>
  </w:style>
  <w:style w:type="table" w:styleId="a8">
    <w:name w:val="Table Grid"/>
    <w:basedOn w:val="a1"/>
    <w:uiPriority w:val="59"/>
    <w:rsid w:val="00A35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rsid w:val="00E70DD3"/>
    <w:rPr>
      <w:sz w:val="18"/>
      <w:szCs w:val="18"/>
    </w:rPr>
  </w:style>
  <w:style w:type="paragraph" w:styleId="aa">
    <w:name w:val="annotation text"/>
    <w:basedOn w:val="a"/>
    <w:link w:val="ab"/>
    <w:rsid w:val="00E70DD3"/>
  </w:style>
  <w:style w:type="character" w:customStyle="1" w:styleId="ab">
    <w:name w:val="Текст примечания Знак"/>
    <w:basedOn w:val="a0"/>
    <w:link w:val="aa"/>
    <w:rsid w:val="00E70DD3"/>
  </w:style>
  <w:style w:type="paragraph" w:styleId="ac">
    <w:name w:val="annotation subject"/>
    <w:basedOn w:val="aa"/>
    <w:next w:val="aa"/>
    <w:link w:val="ad"/>
    <w:rsid w:val="00E70DD3"/>
    <w:rPr>
      <w:b/>
      <w:bCs/>
      <w:sz w:val="20"/>
      <w:szCs w:val="20"/>
    </w:rPr>
  </w:style>
  <w:style w:type="character" w:customStyle="1" w:styleId="ad">
    <w:name w:val="Тема примечания Знак"/>
    <w:basedOn w:val="ab"/>
    <w:link w:val="ac"/>
    <w:rsid w:val="00E70DD3"/>
    <w:rPr>
      <w:b/>
      <w:bCs/>
      <w:sz w:val="20"/>
      <w:szCs w:val="20"/>
    </w:rPr>
  </w:style>
  <w:style w:type="character" w:customStyle="1" w:styleId="a4">
    <w:name w:val="Текст выноски Знак"/>
    <w:basedOn w:val="a0"/>
    <w:link w:val="a3"/>
    <w:rsid w:val="00E70DD3"/>
    <w:rPr>
      <w:rFonts w:ascii="Lucida Grande" w:hAnsi="Lucida Grande"/>
      <w:sz w:val="18"/>
      <w:szCs w:val="18"/>
    </w:rPr>
  </w:style>
  <w:style w:type="paragraph" w:styleId="ae">
    <w:name w:val="List Paragraph"/>
    <w:basedOn w:val="a"/>
    <w:qFormat/>
    <w:rsid w:val="00E6729B"/>
    <w:pPr>
      <w:ind w:left="720"/>
      <w:contextualSpacing/>
    </w:pPr>
  </w:style>
  <w:style w:type="character" w:styleId="af">
    <w:name w:val="Hyperlink"/>
    <w:basedOn w:val="a0"/>
    <w:rsid w:val="004F235E"/>
    <w:rPr>
      <w:color w:val="0000FF" w:themeColor="hyperlink"/>
      <w:u w:val="single"/>
    </w:rPr>
  </w:style>
  <w:style w:type="paragraph" w:customStyle="1" w:styleId="Default">
    <w:name w:val="Default"/>
    <w:rsid w:val="00433401"/>
    <w:pPr>
      <w:widowControl w:val="0"/>
      <w:autoSpaceDE w:val="0"/>
      <w:autoSpaceDN w:val="0"/>
      <w:adjustRightInd w:val="0"/>
    </w:pPr>
    <w:rPr>
      <w:rFonts w:ascii="Times New Roman" w:eastAsia="Cambria" w:hAnsi="Times New Roman" w:cs="Times New Roman"/>
      <w:color w:val="000000"/>
      <w:lang w:val="de-DE"/>
    </w:rPr>
  </w:style>
  <w:style w:type="paragraph" w:styleId="af0">
    <w:name w:val="header"/>
    <w:basedOn w:val="a"/>
    <w:link w:val="af1"/>
    <w:rsid w:val="004023DA"/>
    <w:pPr>
      <w:tabs>
        <w:tab w:val="center" w:pos="4536"/>
        <w:tab w:val="right" w:pos="9072"/>
      </w:tabs>
    </w:pPr>
  </w:style>
  <w:style w:type="character" w:customStyle="1" w:styleId="af1">
    <w:name w:val="Верхний колонтитул Знак"/>
    <w:basedOn w:val="a0"/>
    <w:link w:val="af0"/>
    <w:rsid w:val="004023DA"/>
  </w:style>
  <w:style w:type="paragraph" w:styleId="af2">
    <w:name w:val="footer"/>
    <w:basedOn w:val="a"/>
    <w:link w:val="af3"/>
    <w:rsid w:val="004023DA"/>
    <w:pPr>
      <w:tabs>
        <w:tab w:val="center" w:pos="4536"/>
        <w:tab w:val="right" w:pos="9072"/>
      </w:tabs>
    </w:pPr>
  </w:style>
  <w:style w:type="character" w:customStyle="1" w:styleId="af3">
    <w:name w:val="Нижний колонтитул Знак"/>
    <w:basedOn w:val="a0"/>
    <w:link w:val="af2"/>
    <w:rsid w:val="004023DA"/>
  </w:style>
  <w:style w:type="character" w:styleId="af4">
    <w:name w:val="FollowedHyperlink"/>
    <w:basedOn w:val="a0"/>
    <w:rsid w:val="00AE0C0D"/>
    <w:rPr>
      <w:color w:val="800080" w:themeColor="followedHyperlink"/>
      <w:u w:val="single"/>
    </w:rPr>
  </w:style>
  <w:style w:type="character" w:styleId="af5">
    <w:name w:val="page number"/>
    <w:basedOn w:val="a0"/>
    <w:rsid w:val="00544D20"/>
  </w:style>
  <w:style w:type="paragraph" w:styleId="11">
    <w:name w:val="toc 1"/>
    <w:basedOn w:val="a"/>
    <w:next w:val="a"/>
    <w:autoRedefine/>
    <w:uiPriority w:val="39"/>
    <w:rsid w:val="00DE6EB3"/>
  </w:style>
  <w:style w:type="character" w:customStyle="1" w:styleId="10">
    <w:name w:val="Заголовок 1 Знак"/>
    <w:basedOn w:val="a0"/>
    <w:link w:val="1"/>
    <w:rsid w:val="0040506F"/>
    <w:rPr>
      <w:rFonts w:ascii="Arial" w:eastAsiaTheme="majorEastAsia" w:hAnsi="Arial" w:cstheme="majorBidi"/>
      <w:b/>
      <w:bCs/>
      <w:color w:val="000000" w:themeColor="text1"/>
      <w:sz w:val="22"/>
      <w:szCs w:val="32"/>
    </w:rPr>
  </w:style>
  <w:style w:type="paragraph" w:styleId="2">
    <w:name w:val="toc 2"/>
    <w:basedOn w:val="a"/>
    <w:next w:val="a"/>
    <w:autoRedefine/>
    <w:rsid w:val="00DE6EB3"/>
    <w:pPr>
      <w:ind w:left="240"/>
    </w:pPr>
  </w:style>
  <w:style w:type="paragraph" w:styleId="3">
    <w:name w:val="toc 3"/>
    <w:basedOn w:val="a"/>
    <w:next w:val="a"/>
    <w:autoRedefine/>
    <w:rsid w:val="00DE6EB3"/>
    <w:pPr>
      <w:ind w:left="480"/>
    </w:pPr>
  </w:style>
  <w:style w:type="paragraph" w:styleId="4">
    <w:name w:val="toc 4"/>
    <w:basedOn w:val="a"/>
    <w:next w:val="a"/>
    <w:autoRedefine/>
    <w:rsid w:val="00DE6EB3"/>
    <w:pPr>
      <w:ind w:left="720"/>
    </w:pPr>
  </w:style>
  <w:style w:type="paragraph" w:styleId="5">
    <w:name w:val="toc 5"/>
    <w:basedOn w:val="a"/>
    <w:next w:val="a"/>
    <w:autoRedefine/>
    <w:rsid w:val="00DE6EB3"/>
    <w:pPr>
      <w:ind w:left="960"/>
    </w:pPr>
  </w:style>
  <w:style w:type="paragraph" w:styleId="6">
    <w:name w:val="toc 6"/>
    <w:basedOn w:val="a"/>
    <w:next w:val="a"/>
    <w:autoRedefine/>
    <w:rsid w:val="00DE6EB3"/>
    <w:pPr>
      <w:ind w:left="1200"/>
    </w:pPr>
  </w:style>
  <w:style w:type="paragraph" w:styleId="7">
    <w:name w:val="toc 7"/>
    <w:basedOn w:val="a"/>
    <w:next w:val="a"/>
    <w:autoRedefine/>
    <w:rsid w:val="00DE6EB3"/>
    <w:pPr>
      <w:ind w:left="1440"/>
    </w:pPr>
  </w:style>
  <w:style w:type="paragraph" w:styleId="8">
    <w:name w:val="toc 8"/>
    <w:basedOn w:val="a"/>
    <w:next w:val="a"/>
    <w:autoRedefine/>
    <w:rsid w:val="00DE6EB3"/>
    <w:pPr>
      <w:ind w:left="1680"/>
    </w:pPr>
  </w:style>
  <w:style w:type="paragraph" w:styleId="9">
    <w:name w:val="toc 9"/>
    <w:basedOn w:val="a"/>
    <w:next w:val="a"/>
    <w:autoRedefine/>
    <w:rsid w:val="00DE6EB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N97/247/64/IMG/N9724764.pdf?OpenElement" TargetMode="External"/><Relationship Id="rId3" Type="http://schemas.openxmlformats.org/officeDocument/2006/relationships/hyperlink" Target="http://tbinternet.ohchr.org/_layouts/treatybodyexternal/Download.aspx?symbolno=CCPR%2fC%2fTJK%2fCO%2f2&amp;Lang=en" TargetMode="External"/><Relationship Id="rId7" Type="http://schemas.openxmlformats.org/officeDocument/2006/relationships/hyperlink" Target="http://www.unhchr.ch/tbs/doc.nsf/385c2add1632f4a8c12565a9004dc311/a91dea9af2c00fa7c1256ace0055cab5/$FILE/G0144476.pdf" TargetMode="External"/><Relationship Id="rId2" Type="http://schemas.openxmlformats.org/officeDocument/2006/relationships/hyperlink" Target="http://tbinternet.ohchr.org/_layouts/treatybodyexternal/Download.aspx?symbolno=CAT%2fC%2fTJK%2fCO%2f2&amp;Lang=en" TargetMode="External"/><Relationship Id="rId1" Type="http://schemas.openxmlformats.org/officeDocument/2006/relationships/hyperlink" Target="http://www.ohchr.org/Documents/Issues/SRTorture/A-HRC-22-53-Add1_en.pdf" TargetMode="External"/><Relationship Id="rId6" Type="http://schemas.openxmlformats.org/officeDocument/2006/relationships/hyperlink" Target="http://tbinternet.ohchr.org/_layouts/treatybodyexternal/Download.aspx?symbolno=INT%2fCCPR%2fNGO%2fTJK%2f14620&amp;Lang=en" TargetMode="External"/><Relationship Id="rId5" Type="http://schemas.openxmlformats.org/officeDocument/2006/relationships/hyperlink" Target="http://tbinternet.ohchr.org/_layouts/treatybodyexternal/Download.aspx?symbolno=INT%2fCAT%2fNGO%2fTJK%2f13028&amp;Lang=en" TargetMode="External"/><Relationship Id="rId10" Type="http://schemas.openxmlformats.org/officeDocument/2006/relationships/hyperlink" Target="http://www.ohchr.org/EN/HRBodies/UPR/PAGES/TJSession12.aspx" TargetMode="External"/><Relationship Id="rId4" Type="http://schemas.openxmlformats.org/officeDocument/2006/relationships/hyperlink" Target="http://www.amnesty.org/en/library/info/EUR60/004/2012/en" TargetMode="External"/><Relationship Id="rId9" Type="http://schemas.openxmlformats.org/officeDocument/2006/relationships/hyperlink" Target="http://notorture.tj/library/soblyudeniya-prav-cheloveka-v-hode-voennoy-sluzhby-v-respublike-tadzhikista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B0FA-F0CE-455E-92FF-91E58BAE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6382</Words>
  <Characters>36381</Characters>
  <Application>Microsoft Office Word</Application>
  <DocSecurity>0</DocSecurity>
  <Lines>303</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Sunder-Plassmann</dc:creator>
  <cp:lastModifiedBy>Asus x55c</cp:lastModifiedBy>
  <cp:revision>2</cp:revision>
  <cp:lastPrinted>2015-02-09T20:01:00Z</cp:lastPrinted>
  <dcterms:created xsi:type="dcterms:W3CDTF">2015-02-09T06:00:00Z</dcterms:created>
  <dcterms:modified xsi:type="dcterms:W3CDTF">2015-02-09T06:00:00Z</dcterms:modified>
</cp:coreProperties>
</file>